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9C5BAE" w:rsidRPr="00502E1E" w:rsidTr="00090B0B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9C5BAE" w:rsidRPr="00502E1E" w:rsidTr="00090B0B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9C5BAE" w:rsidRPr="00100556" w:rsidRDefault="009C5BAE" w:rsidP="00090B0B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>The Ministry of Education and Training</w:t>
                  </w:r>
                </w:p>
                <w:p w:rsidR="009C5BAE" w:rsidRPr="00502E1E" w:rsidRDefault="009C5BAE" w:rsidP="00090B0B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  <w:lang w:val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352424</wp:posOffset>
                            </wp:positionV>
                            <wp:extent cx="1828800" cy="0"/>
                            <wp:effectExtent l="0" t="0" r="19050" b="1905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242568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hS91ENwAAAAJAQAADwAAAAAAAAAAAAAAAAB2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9C5BAE" w:rsidRPr="0025703E" w:rsidRDefault="009C5BAE" w:rsidP="00090B0B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9C5BAE" w:rsidRPr="00994857" w:rsidRDefault="009C5BAE" w:rsidP="00090B0B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9C5BAE" w:rsidRPr="00994857" w:rsidRDefault="009C5BAE" w:rsidP="00090B0B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9C5BAE" w:rsidRPr="00502E1E" w:rsidRDefault="009C5BAE" w:rsidP="00090B0B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9C5BAE" w:rsidRPr="00502E1E" w:rsidRDefault="009C5BAE" w:rsidP="00090B0B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5BAE" w:rsidRPr="00502E1E" w:rsidRDefault="009C5BAE" w:rsidP="00090B0B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9C5BAE" w:rsidRPr="003A3B13" w:rsidRDefault="009C5BAE" w:rsidP="009C5BAE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9C5BAE" w:rsidRDefault="009C5BAE" w:rsidP="009C5BAE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A55B66" w:rsidRPr="009C5BAE" w:rsidRDefault="00C553D4" w:rsidP="00A55B66">
      <w:pPr>
        <w:jc w:val="center"/>
        <w:rPr>
          <w:rFonts w:cs="Times New Roman"/>
          <w:b/>
          <w:sz w:val="36"/>
          <w:szCs w:val="36"/>
          <w:lang w:val="en-GB"/>
        </w:rPr>
      </w:pPr>
      <w:r w:rsidRPr="009C5BAE">
        <w:rPr>
          <w:rFonts w:cs="Times New Roman"/>
          <w:b/>
          <w:w w:val="102"/>
          <w:sz w:val="36"/>
          <w:szCs w:val="36"/>
        </w:rPr>
        <w:t>ACCO3306</w:t>
      </w:r>
      <w:r w:rsidRPr="009C5BAE">
        <w:rPr>
          <w:rFonts w:cs="Times New Roman"/>
          <w:b/>
          <w:w w:val="102"/>
          <w:sz w:val="26"/>
          <w:szCs w:val="26"/>
        </w:rPr>
        <w:t xml:space="preserve"> </w:t>
      </w:r>
      <w:r w:rsidR="00D24CB4" w:rsidRPr="009C5BAE">
        <w:rPr>
          <w:rFonts w:cs="Times New Roman"/>
          <w:b/>
          <w:w w:val="102"/>
          <w:sz w:val="26"/>
          <w:szCs w:val="26"/>
        </w:rPr>
        <w:t xml:space="preserve">- </w:t>
      </w:r>
      <w:r w:rsidR="009C5BAE" w:rsidRPr="009C5BAE">
        <w:rPr>
          <w:rFonts w:cs="Times New Roman"/>
          <w:b/>
          <w:color w:val="000000"/>
          <w:sz w:val="36"/>
          <w:szCs w:val="36"/>
        </w:rPr>
        <w:t>ACCOUNTING OF BANKING</w:t>
      </w:r>
    </w:p>
    <w:p w:rsidR="00A55B66" w:rsidRPr="00C553D4" w:rsidRDefault="00A55B66" w:rsidP="00A55B66">
      <w:pPr>
        <w:numPr>
          <w:ilvl w:val="0"/>
          <w:numId w:val="1"/>
        </w:numPr>
        <w:spacing w:before="120" w:after="0"/>
        <w:jc w:val="both"/>
        <w:rPr>
          <w:rFonts w:cs="Times New Roman"/>
          <w:b/>
          <w:bCs/>
          <w:szCs w:val="24"/>
        </w:rPr>
      </w:pPr>
      <w:r w:rsidRPr="00C553D4">
        <w:rPr>
          <w:rFonts w:cs="Times New Roman"/>
          <w:b/>
          <w:bCs/>
          <w:szCs w:val="24"/>
        </w:rPr>
        <w:t xml:space="preserve">COURSE </w:t>
      </w:r>
      <w:r w:rsidR="00B00DBF" w:rsidRPr="00C553D4">
        <w:rPr>
          <w:rFonts w:cs="Times New Roman"/>
          <w:b/>
          <w:bCs/>
          <w:szCs w:val="24"/>
        </w:rPr>
        <w:t>OUTLINES</w:t>
      </w:r>
    </w:p>
    <w:p w:rsidR="00A55B66" w:rsidRPr="00C553D4" w:rsidRDefault="00D24CB4" w:rsidP="00A55B66">
      <w:pPr>
        <w:numPr>
          <w:ilvl w:val="1"/>
          <w:numId w:val="2"/>
        </w:numPr>
        <w:spacing w:before="12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Name: </w:t>
      </w:r>
      <w:r w:rsidR="00C553D4" w:rsidRPr="00C553D4">
        <w:rPr>
          <w:rFonts w:cs="Times New Roman"/>
          <w:b/>
          <w:szCs w:val="24"/>
        </w:rPr>
        <w:t>Accounting</w:t>
      </w:r>
      <w:r>
        <w:rPr>
          <w:rFonts w:cs="Times New Roman"/>
          <w:b/>
          <w:szCs w:val="24"/>
        </w:rPr>
        <w:t xml:space="preserve"> of </w:t>
      </w:r>
      <w:r w:rsidRPr="00C553D4">
        <w:rPr>
          <w:rFonts w:cs="Times New Roman"/>
          <w:b/>
          <w:szCs w:val="24"/>
        </w:rPr>
        <w:t>Banking</w:t>
      </w:r>
      <w:r w:rsidR="00A55B66" w:rsidRPr="00C553D4">
        <w:rPr>
          <w:rFonts w:cs="Times New Roman"/>
          <w:szCs w:val="24"/>
        </w:rPr>
        <w:tab/>
      </w:r>
    </w:p>
    <w:p w:rsidR="00A55B66" w:rsidRPr="00C553D4" w:rsidRDefault="00D24CB4" w:rsidP="00A55B66">
      <w:pPr>
        <w:numPr>
          <w:ilvl w:val="1"/>
          <w:numId w:val="2"/>
        </w:numPr>
        <w:spacing w:before="12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Course code: </w:t>
      </w:r>
      <w:r w:rsidR="00C553D4" w:rsidRPr="00C553D4">
        <w:rPr>
          <w:rFonts w:cs="Times New Roman"/>
          <w:color w:val="000000"/>
        </w:rPr>
        <w:t>ACCO3306</w:t>
      </w:r>
    </w:p>
    <w:p w:rsidR="00A55B66" w:rsidRPr="00C553D4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rFonts w:cs="Times New Roman"/>
          <w:bCs/>
          <w:szCs w:val="24"/>
        </w:rPr>
      </w:pPr>
      <w:r w:rsidRPr="00C553D4">
        <w:rPr>
          <w:rFonts w:cs="Times New Roman"/>
          <w:szCs w:val="24"/>
        </w:rPr>
        <w:t>Course Credit: 03 credits</w:t>
      </w:r>
    </w:p>
    <w:p w:rsidR="00A55B66" w:rsidRPr="00C553D4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rFonts w:cs="Times New Roman"/>
          <w:bCs/>
          <w:szCs w:val="24"/>
        </w:rPr>
      </w:pPr>
      <w:r w:rsidRPr="00C553D4">
        <w:rPr>
          <w:rFonts w:cs="Times New Roman"/>
          <w:bCs/>
          <w:szCs w:val="24"/>
        </w:rPr>
        <w:t>Requisite</w:t>
      </w:r>
      <w:r w:rsidR="00D24CB4">
        <w:rPr>
          <w:rFonts w:cs="Times New Roman"/>
          <w:bCs/>
          <w:szCs w:val="24"/>
        </w:rPr>
        <w:t xml:space="preserve">: </w:t>
      </w:r>
      <w:r w:rsidR="000656E7" w:rsidRPr="00C553D4">
        <w:rPr>
          <w:rFonts w:cs="Times New Roman"/>
          <w:bCs/>
          <w:szCs w:val="24"/>
        </w:rPr>
        <w:t xml:space="preserve"> </w:t>
      </w:r>
      <w:r w:rsidR="009C5BAE">
        <w:rPr>
          <w:rFonts w:cs="Times New Roman"/>
          <w:bCs/>
          <w:szCs w:val="24"/>
        </w:rPr>
        <w:t xml:space="preserve">Principles of accounting </w:t>
      </w:r>
    </w:p>
    <w:p w:rsidR="00A55B66" w:rsidRPr="00C553D4" w:rsidRDefault="00A55B66" w:rsidP="00A55B66">
      <w:pPr>
        <w:numPr>
          <w:ilvl w:val="0"/>
          <w:numId w:val="1"/>
        </w:numPr>
        <w:spacing w:before="120" w:after="0"/>
        <w:jc w:val="both"/>
        <w:rPr>
          <w:rFonts w:cs="Times New Roman"/>
          <w:b/>
          <w:bCs/>
          <w:szCs w:val="24"/>
        </w:rPr>
      </w:pPr>
      <w:r w:rsidRPr="00C553D4">
        <w:rPr>
          <w:rFonts w:cs="Times New Roman"/>
          <w:b/>
          <w:bCs/>
          <w:szCs w:val="24"/>
        </w:rPr>
        <w:t>COURSE DESCRIPTION</w:t>
      </w:r>
      <w:r w:rsidR="00CF73FF" w:rsidRPr="00C553D4">
        <w:rPr>
          <w:rFonts w:cs="Times New Roman"/>
          <w:b/>
          <w:bCs/>
          <w:szCs w:val="24"/>
        </w:rPr>
        <w:t>:</w:t>
      </w:r>
    </w:p>
    <w:p w:rsidR="00510D8E" w:rsidRPr="00AA205B" w:rsidRDefault="00AA205B" w:rsidP="00C553D4">
      <w:pPr>
        <w:pStyle w:val="BodyTextIndent"/>
        <w:widowControl w:val="0"/>
        <w:ind w:left="360" w:right="76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The Accounting of Banking course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provide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 basic knowledge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on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accounting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of 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business transactions and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skills of preparing and present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ing financial reports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of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commercial bank, based on the general accounting principles </w:t>
      </w:r>
      <w:r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applying 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</w:t>
      </w:r>
      <w:r w:rsidR="00C553D4" w:rsidRPr="00AA20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commercial bank.</w:t>
      </w:r>
    </w:p>
    <w:p w:rsidR="00CF73FF" w:rsidRPr="00C553D4" w:rsidRDefault="00CF73FF" w:rsidP="000656E7">
      <w:pPr>
        <w:widowControl w:val="0"/>
        <w:numPr>
          <w:ilvl w:val="0"/>
          <w:numId w:val="1"/>
        </w:numPr>
        <w:spacing w:before="120"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553D4">
        <w:rPr>
          <w:rFonts w:cs="Times New Roman"/>
          <w:b/>
          <w:bCs/>
          <w:color w:val="000000" w:themeColor="text1"/>
          <w:sz w:val="24"/>
          <w:szCs w:val="24"/>
        </w:rPr>
        <w:t>COURSE OBJECTIVES</w:t>
      </w:r>
      <w:r w:rsidR="000656E7" w:rsidRPr="00C553D4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553D4" w:rsidRPr="00C553D4" w:rsidRDefault="00D24CB4" w:rsidP="00C553D4">
      <w:pPr>
        <w:spacing w:before="120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After</w:t>
      </w:r>
      <w:r w:rsidR="00C553D4" w:rsidRPr="00C553D4">
        <w:rPr>
          <w:rFonts w:cs="Times New Roman"/>
          <w:color w:val="000000" w:themeColor="text1"/>
          <w:sz w:val="24"/>
          <w:szCs w:val="24"/>
        </w:rPr>
        <w:t xml:space="preserve"> finishing this </w:t>
      </w:r>
      <w:r w:rsidR="00AA205B">
        <w:rPr>
          <w:rFonts w:cs="Times New Roman"/>
          <w:color w:val="000000" w:themeColor="text1"/>
          <w:sz w:val="24"/>
          <w:szCs w:val="24"/>
        </w:rPr>
        <w:t>course</w:t>
      </w:r>
      <w:r w:rsidR="00C553D4" w:rsidRPr="00C553D4">
        <w:rPr>
          <w:rFonts w:cs="Times New Roman"/>
          <w:color w:val="000000" w:themeColor="text1"/>
          <w:sz w:val="24"/>
          <w:szCs w:val="24"/>
        </w:rPr>
        <w:t>, students shall</w:t>
      </w:r>
      <w:r w:rsidR="00AA205B">
        <w:rPr>
          <w:rFonts w:cs="Times New Roman"/>
          <w:color w:val="000000" w:themeColor="text1"/>
          <w:sz w:val="24"/>
          <w:szCs w:val="24"/>
        </w:rPr>
        <w:t xml:space="preserve"> be able to</w:t>
      </w:r>
      <w:r w:rsidR="00C553D4" w:rsidRPr="00C553D4">
        <w:rPr>
          <w:rFonts w:cs="Times New Roman"/>
          <w:color w:val="000000" w:themeColor="text1"/>
          <w:sz w:val="24"/>
          <w:szCs w:val="24"/>
        </w:rPr>
        <w:t>:</w:t>
      </w:r>
    </w:p>
    <w:p w:rsidR="00C553D4" w:rsidRPr="00B24301" w:rsidRDefault="00AA205B" w:rsidP="00B24301">
      <w:pPr>
        <w:pStyle w:val="ListParagraph"/>
        <w:numPr>
          <w:ilvl w:val="0"/>
          <w:numId w:val="9"/>
        </w:numPr>
        <w:spacing w:before="120" w:after="0" w:line="240" w:lineRule="auto"/>
        <w:ind w:right="7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Obtain</w:t>
      </w:r>
      <w:r w:rsidR="00C553D4" w:rsidRPr="00B24301">
        <w:rPr>
          <w:rFonts w:cs="Times New Roman"/>
          <w:color w:val="000000" w:themeColor="text1"/>
          <w:sz w:val="24"/>
          <w:szCs w:val="24"/>
        </w:rPr>
        <w:t xml:space="preserve"> basic knowledge and skill</w:t>
      </w:r>
      <w:r w:rsidR="00D24CB4" w:rsidRPr="00B24301">
        <w:rPr>
          <w:rFonts w:cs="Times New Roman"/>
          <w:color w:val="000000" w:themeColor="text1"/>
          <w:sz w:val="24"/>
          <w:szCs w:val="24"/>
        </w:rPr>
        <w:t>s</w:t>
      </w:r>
      <w:r w:rsidR="00C553D4" w:rsidRPr="00B24301">
        <w:rPr>
          <w:rFonts w:cs="Times New Roman"/>
          <w:color w:val="000000" w:themeColor="text1"/>
          <w:sz w:val="24"/>
          <w:szCs w:val="24"/>
        </w:rPr>
        <w:t xml:space="preserve"> about accounting </w:t>
      </w:r>
      <w:r>
        <w:rPr>
          <w:rFonts w:cs="Times New Roman"/>
          <w:color w:val="000000" w:themeColor="text1"/>
          <w:sz w:val="24"/>
          <w:szCs w:val="24"/>
        </w:rPr>
        <w:t xml:space="preserve">of banking </w:t>
      </w:r>
      <w:r w:rsidR="00C553D4" w:rsidRPr="00B24301">
        <w:rPr>
          <w:rFonts w:cs="Times New Roman"/>
          <w:color w:val="000000" w:themeColor="text1"/>
          <w:sz w:val="24"/>
          <w:szCs w:val="24"/>
        </w:rPr>
        <w:t xml:space="preserve">and </w:t>
      </w:r>
      <w:r>
        <w:rPr>
          <w:rFonts w:cs="Times New Roman"/>
          <w:color w:val="000000" w:themeColor="text1"/>
          <w:sz w:val="24"/>
          <w:szCs w:val="24"/>
        </w:rPr>
        <w:t xml:space="preserve">prepare </w:t>
      </w:r>
      <w:r w:rsidR="00C553D4" w:rsidRPr="00B24301">
        <w:rPr>
          <w:rFonts w:cs="Times New Roman"/>
          <w:color w:val="000000" w:themeColor="text1"/>
          <w:sz w:val="24"/>
          <w:szCs w:val="24"/>
        </w:rPr>
        <w:t>financial reports of commercial banks.</w:t>
      </w:r>
    </w:p>
    <w:p w:rsidR="00C553D4" w:rsidRPr="00B24301" w:rsidRDefault="00AA205B" w:rsidP="00B24301">
      <w:pPr>
        <w:pStyle w:val="ListParagraph"/>
        <w:numPr>
          <w:ilvl w:val="0"/>
          <w:numId w:val="9"/>
        </w:numPr>
        <w:spacing w:before="120" w:after="0" w:line="240" w:lineRule="auto"/>
        <w:ind w:right="7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</w:t>
      </w:r>
      <w:r w:rsidR="00C553D4" w:rsidRPr="00B24301">
        <w:rPr>
          <w:rFonts w:cs="Times New Roman"/>
          <w:color w:val="000000" w:themeColor="text1"/>
          <w:sz w:val="24"/>
          <w:szCs w:val="24"/>
        </w:rPr>
        <w:t>pply the current banking accounting system to the above transactions.</w:t>
      </w:r>
    </w:p>
    <w:p w:rsidR="00510D8E" w:rsidRPr="00B24301" w:rsidRDefault="00AA205B" w:rsidP="00B24301">
      <w:pPr>
        <w:pStyle w:val="ListParagraph"/>
        <w:numPr>
          <w:ilvl w:val="0"/>
          <w:numId w:val="9"/>
        </w:numPr>
        <w:spacing w:before="120" w:after="0" w:line="240" w:lineRule="auto"/>
        <w:ind w:right="7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Gain</w:t>
      </w:r>
      <w:r w:rsidR="00C553D4" w:rsidRPr="00B24301">
        <w:rPr>
          <w:rFonts w:cs="Times New Roman"/>
          <w:color w:val="000000" w:themeColor="text1"/>
          <w:sz w:val="24"/>
          <w:szCs w:val="24"/>
        </w:rPr>
        <w:t xml:space="preserve"> the ability of self-learning, self-reading of standards, regulations relating to banking accounting</w:t>
      </w:r>
      <w:r w:rsidR="00510D8E" w:rsidRPr="00B24301">
        <w:rPr>
          <w:rFonts w:cs="Times New Roman"/>
          <w:color w:val="000000" w:themeColor="text1"/>
          <w:sz w:val="24"/>
          <w:szCs w:val="24"/>
        </w:rPr>
        <w:t>.</w:t>
      </w:r>
    </w:p>
    <w:p w:rsidR="000656E7" w:rsidRPr="00C553D4" w:rsidRDefault="000656E7" w:rsidP="000656E7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C553D4">
        <w:rPr>
          <w:rFonts w:ascii="Times New Roman" w:hAnsi="Times New Roman"/>
          <w:b/>
          <w:sz w:val="24"/>
          <w:szCs w:val="24"/>
        </w:rPr>
        <w:t>Approaches to Teaching and Learning</w:t>
      </w:r>
    </w:p>
    <w:p w:rsidR="00D24CB4" w:rsidRDefault="000656E7" w:rsidP="00D24CB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D24CB4">
        <w:rPr>
          <w:rFonts w:eastAsia="Times New Roman" w:cs="Times New Roman"/>
          <w:sz w:val="24"/>
          <w:szCs w:val="24"/>
          <w:lang w:val="en-GB"/>
        </w:rPr>
        <w:t>Lectures: 4 hours per wee</w:t>
      </w:r>
      <w:r w:rsidR="00D24CB4" w:rsidRPr="00D24CB4">
        <w:rPr>
          <w:rFonts w:eastAsia="Times New Roman" w:cs="Times New Roman"/>
          <w:sz w:val="24"/>
          <w:szCs w:val="24"/>
          <w:lang w:val="en-GB"/>
        </w:rPr>
        <w:t>k</w:t>
      </w:r>
      <w:r w:rsidR="00D24CB4">
        <w:rPr>
          <w:rFonts w:eastAsia="Times New Roman" w:cs="Times New Roman"/>
          <w:sz w:val="24"/>
          <w:szCs w:val="24"/>
          <w:lang w:val="en-GB"/>
        </w:rPr>
        <w:t>.</w:t>
      </w:r>
    </w:p>
    <w:p w:rsidR="000656E7" w:rsidRPr="00D24CB4" w:rsidRDefault="0035753D" w:rsidP="00D24CB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Practice</w:t>
      </w:r>
      <w:r w:rsidR="00510D8E" w:rsidRPr="00D24CB4">
        <w:rPr>
          <w:rFonts w:eastAsia="Times New Roman" w:cs="Times New Roman"/>
          <w:sz w:val="24"/>
          <w:szCs w:val="24"/>
          <w:lang w:val="en-GB"/>
        </w:rPr>
        <w:t>/lab</w:t>
      </w:r>
      <w:r w:rsidR="000656E7" w:rsidRPr="00D24CB4">
        <w:rPr>
          <w:rFonts w:eastAsia="Times New Roman" w:cs="Times New Roman"/>
          <w:sz w:val="24"/>
          <w:szCs w:val="24"/>
          <w:lang w:val="en-GB"/>
        </w:rPr>
        <w:t xml:space="preserve">: 2 hours per week. </w:t>
      </w:r>
      <w:r w:rsidR="00D24CB4">
        <w:rPr>
          <w:rFonts w:eastAsia="Times New Roman" w:cs="Times New Roman"/>
          <w:sz w:val="24"/>
          <w:szCs w:val="24"/>
          <w:lang w:val="en-GB"/>
        </w:rPr>
        <w:t>Students</w:t>
      </w:r>
      <w:r w:rsidR="000656E7" w:rsidRPr="00D24CB4">
        <w:rPr>
          <w:rFonts w:eastAsia="Times New Roman" w:cs="Times New Roman"/>
          <w:sz w:val="24"/>
          <w:szCs w:val="24"/>
          <w:lang w:val="en-GB"/>
        </w:rPr>
        <w:t xml:space="preserve"> will be encouraged to </w:t>
      </w:r>
      <w:r w:rsidR="00510D8E" w:rsidRPr="00D24CB4">
        <w:rPr>
          <w:rFonts w:eastAsia="Times New Roman" w:cs="Times New Roman"/>
          <w:sz w:val="24"/>
          <w:szCs w:val="24"/>
          <w:lang w:val="en-GB"/>
        </w:rPr>
        <w:t>practise bookkeeping, conduct accounting treatments and prepare supporting documents</w:t>
      </w:r>
      <w:r w:rsidR="000656E7" w:rsidRPr="00D24CB4">
        <w:rPr>
          <w:rFonts w:eastAsia="Times New Roman" w:cs="Times New Roman"/>
          <w:sz w:val="24"/>
          <w:szCs w:val="24"/>
          <w:lang w:val="en-GB"/>
        </w:rPr>
        <w:t xml:space="preserve"> to address the week's learning objectives. These activities provide you with formative feedback on your progress.</w:t>
      </w:r>
    </w:p>
    <w:p w:rsidR="00510D8E" w:rsidRPr="00C553D4" w:rsidRDefault="00510D8E" w:rsidP="000656E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0656E7" w:rsidRPr="00C553D4" w:rsidRDefault="000656E7" w:rsidP="000656E7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C553D4">
        <w:rPr>
          <w:rFonts w:ascii="Times New Roman" w:hAnsi="Times New Roman"/>
          <w:b/>
          <w:sz w:val="24"/>
          <w:szCs w:val="24"/>
        </w:rPr>
        <w:t>Assessment</w:t>
      </w:r>
    </w:p>
    <w:p w:rsidR="000656E7" w:rsidRPr="00C553D4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C553D4">
        <w:rPr>
          <w:rFonts w:ascii="Times New Roman" w:hAnsi="Times New Roman"/>
          <w:sz w:val="24"/>
          <w:szCs w:val="24"/>
        </w:rPr>
        <w:t xml:space="preserve">Type of assessment: multi-choice questions combined with discussion questions. The students do not allow to using study materials during the examination time. </w:t>
      </w:r>
    </w:p>
    <w:p w:rsidR="000656E7" w:rsidRPr="00C553D4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C553D4">
        <w:rPr>
          <w:rFonts w:ascii="Times New Roman" w:hAnsi="Times New Roman"/>
          <w:sz w:val="24"/>
          <w:szCs w:val="24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140"/>
        <w:gridCol w:w="3051"/>
      </w:tblGrid>
      <w:tr w:rsidR="000656E7" w:rsidRPr="00C553D4" w:rsidTr="00CE020C">
        <w:tc>
          <w:tcPr>
            <w:tcW w:w="1768" w:type="dxa"/>
            <w:shd w:val="clear" w:color="auto" w:fill="FFFFFF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553D4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553D4">
              <w:rPr>
                <w:rFonts w:cs="Times New Roman"/>
                <w:b/>
                <w:szCs w:val="24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 w:rsidRPr="00C553D4">
              <w:rPr>
                <w:rFonts w:cs="Times New Roman"/>
                <w:b/>
                <w:szCs w:val="24"/>
              </w:rPr>
              <w:t>Ratio</w:t>
            </w:r>
          </w:p>
        </w:tc>
      </w:tr>
      <w:tr w:rsidR="000656E7" w:rsidRPr="00C553D4" w:rsidTr="00CE020C">
        <w:tc>
          <w:tcPr>
            <w:tcW w:w="1768" w:type="dxa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C553D4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4260" w:type="dxa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C553D4">
              <w:rPr>
                <w:rFonts w:cs="Times New Roman"/>
                <w:szCs w:val="24"/>
              </w:rPr>
              <w:t>Mid-term examination</w:t>
            </w:r>
          </w:p>
        </w:tc>
        <w:tc>
          <w:tcPr>
            <w:tcW w:w="3152" w:type="dxa"/>
          </w:tcPr>
          <w:p w:rsidR="000656E7" w:rsidRPr="00C553D4" w:rsidRDefault="00C553D4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0656E7" w:rsidRPr="00C553D4">
              <w:rPr>
                <w:rFonts w:cs="Times New Roman"/>
                <w:szCs w:val="24"/>
              </w:rPr>
              <w:t>0%</w:t>
            </w:r>
          </w:p>
        </w:tc>
      </w:tr>
      <w:tr w:rsidR="000656E7" w:rsidRPr="00C553D4" w:rsidTr="00CE020C">
        <w:tc>
          <w:tcPr>
            <w:tcW w:w="1768" w:type="dxa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C553D4">
              <w:rPr>
                <w:rFonts w:cs="Times New Roman"/>
                <w:szCs w:val="24"/>
              </w:rPr>
              <w:t>2</w:t>
            </w:r>
          </w:p>
        </w:tc>
        <w:tc>
          <w:tcPr>
            <w:tcW w:w="4260" w:type="dxa"/>
          </w:tcPr>
          <w:p w:rsidR="000656E7" w:rsidRPr="00C553D4" w:rsidRDefault="000656E7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C553D4">
              <w:rPr>
                <w:rFonts w:cs="Times New Roman"/>
                <w:szCs w:val="24"/>
              </w:rPr>
              <w:t>Final examination</w:t>
            </w:r>
          </w:p>
        </w:tc>
        <w:tc>
          <w:tcPr>
            <w:tcW w:w="3152" w:type="dxa"/>
          </w:tcPr>
          <w:p w:rsidR="000656E7" w:rsidRPr="00C553D4" w:rsidRDefault="00C553D4" w:rsidP="00CE020C">
            <w:pPr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0656E7" w:rsidRPr="00C553D4">
              <w:rPr>
                <w:rFonts w:cs="Times New Roman"/>
                <w:szCs w:val="24"/>
              </w:rPr>
              <w:t>0%</w:t>
            </w:r>
          </w:p>
        </w:tc>
      </w:tr>
    </w:tbl>
    <w:p w:rsidR="000656E7" w:rsidRPr="00C553D4" w:rsidRDefault="000656E7" w:rsidP="000656E7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586A5E" w:rsidRPr="00C553D4" w:rsidRDefault="00586A5E" w:rsidP="00586A5E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 w:rsidRPr="00C553D4">
        <w:rPr>
          <w:rFonts w:ascii="Times New Roman" w:hAnsi="Times New Roman"/>
          <w:b/>
          <w:sz w:val="24"/>
          <w:szCs w:val="24"/>
        </w:rPr>
        <w:t>Resource materials</w:t>
      </w:r>
    </w:p>
    <w:p w:rsidR="00512EA4" w:rsidRDefault="00586A5E" w:rsidP="00512EA4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C553D4">
        <w:rPr>
          <w:rFonts w:ascii="Times New Roman" w:hAnsi="Times New Roman"/>
          <w:sz w:val="24"/>
          <w:szCs w:val="24"/>
        </w:rPr>
        <w:t>Text books</w:t>
      </w:r>
      <w:r w:rsidR="00512EA4">
        <w:rPr>
          <w:rFonts w:ascii="Times New Roman" w:hAnsi="Times New Roman"/>
          <w:sz w:val="24"/>
          <w:szCs w:val="24"/>
        </w:rPr>
        <w:t>:</w:t>
      </w:r>
    </w:p>
    <w:p w:rsidR="00512EA4" w:rsidRPr="00512EA4" w:rsidRDefault="00512EA4" w:rsidP="00512EA4">
      <w:pPr>
        <w:pStyle w:val="BodyTextIndent"/>
        <w:widowControl w:val="0"/>
        <w:numPr>
          <w:ilvl w:val="0"/>
          <w:numId w:val="10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512EA4">
        <w:rPr>
          <w:rFonts w:ascii="Times New Roman" w:hAnsi="Times New Roman"/>
          <w:sz w:val="24"/>
          <w:szCs w:val="24"/>
        </w:rPr>
        <w:t xml:space="preserve">Nguyen </w:t>
      </w:r>
      <w:proofErr w:type="spellStart"/>
      <w:r w:rsidRPr="00512EA4">
        <w:rPr>
          <w:rFonts w:ascii="Times New Roman" w:hAnsi="Times New Roman"/>
          <w:sz w:val="24"/>
          <w:szCs w:val="24"/>
        </w:rPr>
        <w:t>Thi</w:t>
      </w:r>
      <w:proofErr w:type="spellEnd"/>
      <w:r w:rsidRPr="00512EA4">
        <w:rPr>
          <w:rFonts w:ascii="Times New Roman" w:hAnsi="Times New Roman"/>
          <w:sz w:val="24"/>
          <w:szCs w:val="24"/>
        </w:rPr>
        <w:t xml:space="preserve"> Loan, Accounting of Banking, Economics Publishing House, 2015.</w:t>
      </w:r>
    </w:p>
    <w:p w:rsidR="00512EA4" w:rsidRPr="00512EA4" w:rsidRDefault="00586A5E" w:rsidP="00512EA4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512EA4">
        <w:rPr>
          <w:rFonts w:ascii="Times New Roman" w:hAnsi="Times New Roman"/>
          <w:sz w:val="24"/>
          <w:szCs w:val="24"/>
        </w:rPr>
        <w:t>References</w:t>
      </w:r>
    </w:p>
    <w:p w:rsidR="00512EA4" w:rsidRPr="00512EA4" w:rsidRDefault="00512EA4" w:rsidP="00512EA4">
      <w:pPr>
        <w:pStyle w:val="BodyTextIndent"/>
        <w:widowControl w:val="0"/>
        <w:numPr>
          <w:ilvl w:val="0"/>
          <w:numId w:val="10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512EA4">
        <w:rPr>
          <w:rFonts w:ascii="Times New Roman" w:hAnsi="Times New Roman"/>
          <w:sz w:val="24"/>
          <w:szCs w:val="24"/>
        </w:rPr>
        <w:t xml:space="preserve">Truong </w:t>
      </w:r>
      <w:proofErr w:type="spellStart"/>
      <w:r w:rsidRPr="00512EA4">
        <w:rPr>
          <w:rFonts w:ascii="Times New Roman" w:hAnsi="Times New Roman"/>
          <w:sz w:val="24"/>
          <w:szCs w:val="24"/>
        </w:rPr>
        <w:t>Thi</w:t>
      </w:r>
      <w:proofErr w:type="spellEnd"/>
      <w:r w:rsidRPr="00512EA4">
        <w:rPr>
          <w:rFonts w:ascii="Times New Roman" w:hAnsi="Times New Roman"/>
          <w:sz w:val="24"/>
          <w:szCs w:val="24"/>
        </w:rPr>
        <w:t xml:space="preserve"> Hong, Accounting of Banking: Theory- Exercises and Multiple-choice Questions, Economics Publishing House, 2015.</w:t>
      </w:r>
    </w:p>
    <w:p w:rsidR="00A55B66" w:rsidRPr="00512EA4" w:rsidRDefault="00512EA4" w:rsidP="00C03788">
      <w:pPr>
        <w:pStyle w:val="BodyTextIndent"/>
        <w:widowControl w:val="0"/>
        <w:numPr>
          <w:ilvl w:val="0"/>
          <w:numId w:val="10"/>
        </w:numPr>
        <w:spacing w:before="120" w:line="276" w:lineRule="auto"/>
        <w:rPr>
          <w:lang w:val="en-GB"/>
        </w:rPr>
      </w:pPr>
      <w:r w:rsidRPr="00512EA4">
        <w:rPr>
          <w:rFonts w:ascii="Times New Roman" w:hAnsi="Times New Roman"/>
          <w:sz w:val="24"/>
          <w:szCs w:val="24"/>
        </w:rPr>
        <w:t xml:space="preserve">Nguyen </w:t>
      </w:r>
      <w:proofErr w:type="spellStart"/>
      <w:r w:rsidRPr="00512EA4">
        <w:rPr>
          <w:rFonts w:ascii="Times New Roman" w:hAnsi="Times New Roman"/>
          <w:sz w:val="24"/>
          <w:szCs w:val="24"/>
        </w:rPr>
        <w:t>Thi</w:t>
      </w:r>
      <w:proofErr w:type="spellEnd"/>
      <w:r w:rsidRPr="00512EA4">
        <w:rPr>
          <w:rFonts w:ascii="Times New Roman" w:hAnsi="Times New Roman"/>
          <w:sz w:val="24"/>
          <w:szCs w:val="24"/>
        </w:rPr>
        <w:t xml:space="preserve"> Loan, Exercises and Solu</w:t>
      </w:r>
      <w:r>
        <w:rPr>
          <w:rFonts w:ascii="Times New Roman" w:hAnsi="Times New Roman"/>
          <w:sz w:val="24"/>
          <w:szCs w:val="24"/>
        </w:rPr>
        <w:t xml:space="preserve">tions in Accounting of Banking, </w:t>
      </w:r>
      <w:r w:rsidRPr="00512EA4">
        <w:rPr>
          <w:rFonts w:ascii="Times New Roman" w:hAnsi="Times New Roman"/>
          <w:sz w:val="24"/>
          <w:szCs w:val="24"/>
        </w:rPr>
        <w:t>Economics Publishing House, 2015</w:t>
      </w:r>
      <w:r>
        <w:rPr>
          <w:rFonts w:ascii="Times New Roman" w:hAnsi="Times New Roman"/>
          <w:sz w:val="24"/>
          <w:szCs w:val="24"/>
        </w:rPr>
        <w:t>.</w:t>
      </w:r>
    </w:p>
    <w:p w:rsidR="00A55B66" w:rsidRPr="00C553D4" w:rsidRDefault="00A55B66">
      <w:pPr>
        <w:rPr>
          <w:rFonts w:cs="Times New Roman"/>
          <w:lang w:val="en-GB"/>
        </w:rPr>
      </w:pPr>
      <w:bookmarkStart w:id="0" w:name="_GoBack"/>
      <w:bookmarkEnd w:id="0"/>
    </w:p>
    <w:sectPr w:rsidR="00A55B66" w:rsidRPr="00C553D4" w:rsidSect="00CD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CE8"/>
    <w:multiLevelType w:val="hybridMultilevel"/>
    <w:tmpl w:val="0810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A0E"/>
    <w:multiLevelType w:val="hybridMultilevel"/>
    <w:tmpl w:val="03FE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9D26071"/>
    <w:multiLevelType w:val="hybridMultilevel"/>
    <w:tmpl w:val="7CFEB1E0"/>
    <w:lvl w:ilvl="0" w:tplc="6BA656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6B8D"/>
    <w:multiLevelType w:val="hybridMultilevel"/>
    <w:tmpl w:val="829E47A6"/>
    <w:lvl w:ilvl="0" w:tplc="70CC9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1AB6"/>
    <w:multiLevelType w:val="hybridMultilevel"/>
    <w:tmpl w:val="D16A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6"/>
    <w:rsid w:val="000656E7"/>
    <w:rsid w:val="001F20D3"/>
    <w:rsid w:val="002477EE"/>
    <w:rsid w:val="0035753D"/>
    <w:rsid w:val="003C5074"/>
    <w:rsid w:val="00443C54"/>
    <w:rsid w:val="004D5CF3"/>
    <w:rsid w:val="00510D8E"/>
    <w:rsid w:val="00512EA4"/>
    <w:rsid w:val="00586A5E"/>
    <w:rsid w:val="005F185E"/>
    <w:rsid w:val="00637123"/>
    <w:rsid w:val="009C5BAE"/>
    <w:rsid w:val="00A55B66"/>
    <w:rsid w:val="00AA205B"/>
    <w:rsid w:val="00B00DBF"/>
    <w:rsid w:val="00B24301"/>
    <w:rsid w:val="00C553D4"/>
    <w:rsid w:val="00CD09C3"/>
    <w:rsid w:val="00CF73FF"/>
    <w:rsid w:val="00D24CB4"/>
    <w:rsid w:val="00F5292C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4F33"/>
  <w15:chartTrackingRefBased/>
  <w15:docId w15:val="{5CF4AB3D-C03D-4064-8A00-03BA1FD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24C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Huu Thuy</dc:creator>
  <cp:keywords/>
  <dc:description/>
  <cp:lastModifiedBy>Ho Huu Thuy</cp:lastModifiedBy>
  <cp:revision>10</cp:revision>
  <dcterms:created xsi:type="dcterms:W3CDTF">2017-01-12T07:09:00Z</dcterms:created>
  <dcterms:modified xsi:type="dcterms:W3CDTF">2017-01-17T08:35:00Z</dcterms:modified>
</cp:coreProperties>
</file>