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0"/>
        <w:gridCol w:w="222"/>
      </w:tblGrid>
      <w:tr w:rsidR="002E7F96" w:rsidRPr="00502E1E" w:rsidTr="00090B0B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44" w:type="dxa"/>
              <w:jc w:val="center"/>
              <w:tblLook w:val="00A0" w:firstRow="1" w:lastRow="0" w:firstColumn="1" w:lastColumn="0" w:noHBand="0" w:noVBand="0"/>
            </w:tblPr>
            <w:tblGrid>
              <w:gridCol w:w="5436"/>
              <w:gridCol w:w="5708"/>
            </w:tblGrid>
            <w:tr w:rsidR="002E7F96" w:rsidRPr="00502E1E" w:rsidTr="00090B0B">
              <w:trPr>
                <w:trHeight w:val="1291"/>
                <w:jc w:val="center"/>
              </w:trPr>
              <w:tc>
                <w:tcPr>
                  <w:tcW w:w="5436" w:type="dxa"/>
                </w:tcPr>
                <w:p w:rsidR="002E7F96" w:rsidRPr="00100556" w:rsidRDefault="002E7F96" w:rsidP="00090B0B">
                  <w:pPr>
                    <w:spacing w:before="120" w:after="0"/>
                    <w:ind w:right="-108"/>
                    <w:jc w:val="center"/>
                    <w:rPr>
                      <w:b/>
                      <w:sz w:val="26"/>
                      <w:szCs w:val="24"/>
                      <w:lang w:val="ru-RU"/>
                    </w:rPr>
                  </w:pPr>
                  <w:r w:rsidRPr="00100556">
                    <w:rPr>
                      <w:b/>
                      <w:sz w:val="26"/>
                      <w:szCs w:val="24"/>
                    </w:rPr>
                    <w:t xml:space="preserve">The Ministry of Education and </w:t>
                  </w:r>
                  <w:bookmarkStart w:id="0" w:name="_GoBack"/>
                  <w:bookmarkEnd w:id="0"/>
                  <w:r w:rsidRPr="00100556">
                    <w:rPr>
                      <w:b/>
                      <w:sz w:val="26"/>
                      <w:szCs w:val="24"/>
                    </w:rPr>
                    <w:t>Training</w:t>
                  </w:r>
                </w:p>
                <w:p w:rsidR="002E7F96" w:rsidRPr="00502E1E" w:rsidRDefault="002F4E94" w:rsidP="00090B0B">
                  <w:pPr>
                    <w:tabs>
                      <w:tab w:val="center" w:pos="2309"/>
                      <w:tab w:val="center" w:pos="8640"/>
                    </w:tabs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85pt,27.75pt" to="19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Ehf&#10;b+bbAAAABgEAAA8AAAAAAAAAAAAAAAAAbAQAAGRycy9kb3ducmV2LnhtbFBLBQYAAAAABAAEAPMA&#10;AAB0BQAAAAA=&#10;"/>
                    </w:pict>
                  </w:r>
                  <w:r w:rsidR="002E7F96">
                    <w:rPr>
                      <w:b/>
                      <w:bCs/>
                      <w:szCs w:val="24"/>
                    </w:rPr>
                    <w:t>HOCHIMINH CITY OPEN UNIVERSITY</w:t>
                  </w:r>
                </w:p>
              </w:tc>
              <w:tc>
                <w:tcPr>
                  <w:tcW w:w="5708" w:type="dxa"/>
                </w:tcPr>
                <w:p w:rsidR="002E7F96" w:rsidRPr="0025703E" w:rsidRDefault="002E7F96" w:rsidP="00090B0B">
                  <w:pPr>
                    <w:snapToGrid w:val="0"/>
                    <w:contextualSpacing/>
                    <w:jc w:val="center"/>
                    <w:rPr>
                      <w:b/>
                      <w:color w:val="000000"/>
                      <w:sz w:val="11"/>
                    </w:rPr>
                  </w:pPr>
                </w:p>
                <w:p w:rsidR="002E7F96" w:rsidRPr="00994857" w:rsidRDefault="002E7F96" w:rsidP="00090B0B">
                  <w:pPr>
                    <w:snapToGrid w:val="0"/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SOCIALIST REPUBLIC OF VIETNAM</w:t>
                  </w:r>
                </w:p>
                <w:p w:rsidR="002E7F96" w:rsidRPr="00994857" w:rsidRDefault="002E7F96" w:rsidP="00090B0B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Independence – Liberty – Happiness</w:t>
                  </w:r>
                </w:p>
                <w:p w:rsidR="002E7F96" w:rsidRPr="00502E1E" w:rsidRDefault="002E7F96" w:rsidP="00090B0B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bCs/>
                      <w:szCs w:val="24"/>
                    </w:rPr>
                  </w:pPr>
                  <w:r w:rsidRPr="00994857">
                    <w:rPr>
                      <w:b/>
                      <w:bCs/>
                      <w:color w:val="000000"/>
                      <w:vertAlign w:val="superscript"/>
                    </w:rPr>
                    <w:t>_____________________________________</w:t>
                  </w:r>
                </w:p>
              </w:tc>
            </w:tr>
          </w:tbl>
          <w:p w:rsidR="002E7F96" w:rsidRPr="00502E1E" w:rsidRDefault="002E7F96" w:rsidP="00090B0B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F96" w:rsidRPr="00502E1E" w:rsidRDefault="002E7F96" w:rsidP="00090B0B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bCs/>
                <w:szCs w:val="24"/>
              </w:rPr>
            </w:pPr>
          </w:p>
        </w:tc>
      </w:tr>
    </w:tbl>
    <w:p w:rsidR="002E7F96" w:rsidRPr="003A3B13" w:rsidRDefault="002E7F96" w:rsidP="002E7F96">
      <w:pPr>
        <w:jc w:val="center"/>
        <w:rPr>
          <w:b/>
          <w:sz w:val="28"/>
          <w:szCs w:val="28"/>
        </w:rPr>
      </w:pPr>
      <w:r w:rsidRPr="003A3B13">
        <w:rPr>
          <w:b/>
          <w:color w:val="000000"/>
          <w:sz w:val="28"/>
          <w:szCs w:val="28"/>
        </w:rPr>
        <w:t>BACHELOR PROGRAM</w:t>
      </w:r>
    </w:p>
    <w:p w:rsidR="002E7F96" w:rsidRDefault="002E7F96" w:rsidP="002E7F96">
      <w:pPr>
        <w:spacing w:before="120"/>
        <w:jc w:val="center"/>
        <w:outlineLvl w:val="0"/>
        <w:rPr>
          <w:b/>
          <w:bCs/>
          <w:szCs w:val="24"/>
        </w:rPr>
      </w:pPr>
      <w:r w:rsidRPr="00502E1E">
        <w:rPr>
          <w:b/>
          <w:bCs/>
          <w:szCs w:val="24"/>
        </w:rPr>
        <w:tab/>
      </w:r>
      <w:r>
        <w:rPr>
          <w:b/>
          <w:bCs/>
          <w:szCs w:val="24"/>
        </w:rPr>
        <w:t>SYLLABUS</w:t>
      </w:r>
    </w:p>
    <w:p w:rsidR="002D6BD1" w:rsidRPr="002D6BD1" w:rsidRDefault="002160C5" w:rsidP="00E75703">
      <w:pPr>
        <w:pStyle w:val="ListParagraph"/>
        <w:spacing w:after="0" w:line="360" w:lineRule="auto"/>
        <w:ind w:left="360"/>
        <w:jc w:val="center"/>
        <w:rPr>
          <w:b/>
          <w:sz w:val="36"/>
          <w:szCs w:val="36"/>
          <w:lang w:val="en-GB"/>
        </w:rPr>
      </w:pPr>
      <w:r>
        <w:rPr>
          <w:b/>
          <w:color w:val="000000"/>
          <w:sz w:val="36"/>
          <w:szCs w:val="36"/>
        </w:rPr>
        <w:t xml:space="preserve">ACCO3311 </w:t>
      </w:r>
      <w:r w:rsidR="002E7F96">
        <w:rPr>
          <w:b/>
          <w:color w:val="000000"/>
          <w:sz w:val="36"/>
          <w:szCs w:val="36"/>
        </w:rPr>
        <w:t xml:space="preserve">- </w:t>
      </w:r>
      <w:r>
        <w:rPr>
          <w:b/>
          <w:color w:val="000000"/>
          <w:sz w:val="36"/>
          <w:szCs w:val="36"/>
        </w:rPr>
        <w:t>TAX ACCOUNTING</w:t>
      </w:r>
    </w:p>
    <w:p w:rsidR="00A55B66" w:rsidRPr="00502E1E" w:rsidRDefault="00833241" w:rsidP="00F73BFB">
      <w:pPr>
        <w:numPr>
          <w:ilvl w:val="0"/>
          <w:numId w:val="1"/>
        </w:num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COURSE OUTLINES</w:t>
      </w:r>
      <w:r w:rsidR="008E594A">
        <w:rPr>
          <w:b/>
          <w:bCs/>
          <w:szCs w:val="24"/>
        </w:rPr>
        <w:t>:</w:t>
      </w:r>
    </w:p>
    <w:p w:rsidR="00A55B66" w:rsidRDefault="00A55B66" w:rsidP="00F73BFB">
      <w:pPr>
        <w:numPr>
          <w:ilvl w:val="1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Name</w:t>
      </w:r>
      <w:r w:rsidRPr="00DA4890">
        <w:rPr>
          <w:szCs w:val="24"/>
        </w:rPr>
        <w:t xml:space="preserve">: </w:t>
      </w:r>
      <w:r w:rsidR="002160C5">
        <w:rPr>
          <w:szCs w:val="24"/>
        </w:rPr>
        <w:t>TAX ACCOUNTING</w:t>
      </w:r>
      <w:r w:rsidRPr="00DA4890">
        <w:rPr>
          <w:szCs w:val="24"/>
        </w:rPr>
        <w:tab/>
      </w:r>
    </w:p>
    <w:p w:rsidR="00A55B66" w:rsidRPr="00DA4890" w:rsidRDefault="00A55B66" w:rsidP="00F73BFB">
      <w:pPr>
        <w:numPr>
          <w:ilvl w:val="1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Course code</w:t>
      </w:r>
      <w:r w:rsidRPr="00DA4890">
        <w:rPr>
          <w:szCs w:val="24"/>
        </w:rPr>
        <w:t xml:space="preserve">: </w:t>
      </w:r>
      <w:r w:rsidR="002D6BD1">
        <w:rPr>
          <w:color w:val="000000"/>
        </w:rPr>
        <w:t>ACCO3</w:t>
      </w:r>
      <w:r w:rsidR="00437F06">
        <w:rPr>
          <w:color w:val="000000"/>
        </w:rPr>
        <w:t>3</w:t>
      </w:r>
      <w:r w:rsidR="002160C5">
        <w:rPr>
          <w:color w:val="000000"/>
        </w:rPr>
        <w:t>1</w:t>
      </w:r>
      <w:r w:rsidR="00522847">
        <w:rPr>
          <w:color w:val="000000"/>
        </w:rPr>
        <w:t>1</w:t>
      </w:r>
    </w:p>
    <w:p w:rsidR="00A55B66" w:rsidRPr="00DA4890" w:rsidRDefault="00B00DBF" w:rsidP="00F73BFB">
      <w:pPr>
        <w:numPr>
          <w:ilvl w:val="1"/>
          <w:numId w:val="2"/>
        </w:numPr>
        <w:spacing w:after="0" w:line="360" w:lineRule="auto"/>
        <w:ind w:left="1080" w:hanging="720"/>
        <w:jc w:val="both"/>
        <w:rPr>
          <w:bCs/>
          <w:szCs w:val="24"/>
        </w:rPr>
      </w:pPr>
      <w:r>
        <w:rPr>
          <w:szCs w:val="24"/>
        </w:rPr>
        <w:t>Course Credit</w:t>
      </w:r>
      <w:r w:rsidRPr="00DA4890">
        <w:rPr>
          <w:szCs w:val="24"/>
        </w:rPr>
        <w:t xml:space="preserve">: </w:t>
      </w:r>
      <w:r w:rsidR="00437F06">
        <w:rPr>
          <w:szCs w:val="24"/>
        </w:rPr>
        <w:t>03</w:t>
      </w:r>
      <w:r>
        <w:rPr>
          <w:szCs w:val="24"/>
        </w:rPr>
        <w:t>credits</w:t>
      </w:r>
    </w:p>
    <w:p w:rsidR="00A55B66" w:rsidRPr="00DA4890" w:rsidRDefault="00B00DBF" w:rsidP="00F73BFB">
      <w:pPr>
        <w:numPr>
          <w:ilvl w:val="1"/>
          <w:numId w:val="2"/>
        </w:numPr>
        <w:spacing w:after="0" w:line="360" w:lineRule="auto"/>
        <w:ind w:left="1080" w:hanging="720"/>
        <w:jc w:val="both"/>
        <w:rPr>
          <w:bCs/>
          <w:szCs w:val="24"/>
        </w:rPr>
      </w:pPr>
      <w:r>
        <w:rPr>
          <w:bCs/>
          <w:szCs w:val="24"/>
        </w:rPr>
        <w:t>Requisite</w:t>
      </w:r>
      <w:r w:rsidR="009F1CAD">
        <w:rPr>
          <w:bCs/>
          <w:szCs w:val="24"/>
        </w:rPr>
        <w:t xml:space="preserve">: </w:t>
      </w:r>
      <w:r w:rsidR="002E7F96">
        <w:rPr>
          <w:bCs/>
          <w:szCs w:val="24"/>
        </w:rPr>
        <w:t>Principles accounting</w:t>
      </w:r>
      <w:r w:rsidR="002160C5">
        <w:rPr>
          <w:bCs/>
          <w:szCs w:val="24"/>
        </w:rPr>
        <w:t>, Financial a</w:t>
      </w:r>
      <w:r w:rsidR="002D6BD1">
        <w:rPr>
          <w:bCs/>
          <w:szCs w:val="24"/>
        </w:rPr>
        <w:t>ccounting 1</w:t>
      </w:r>
      <w:r w:rsidR="002160C5">
        <w:rPr>
          <w:bCs/>
          <w:szCs w:val="24"/>
        </w:rPr>
        <w:t>, Financial a</w:t>
      </w:r>
      <w:r w:rsidR="00437F06">
        <w:rPr>
          <w:bCs/>
          <w:szCs w:val="24"/>
        </w:rPr>
        <w:t>ccounting 2</w:t>
      </w:r>
      <w:r w:rsidR="002160C5">
        <w:rPr>
          <w:bCs/>
          <w:szCs w:val="24"/>
        </w:rPr>
        <w:t xml:space="preserve">, </w:t>
      </w:r>
      <w:r w:rsidR="002E7F96">
        <w:rPr>
          <w:bCs/>
          <w:szCs w:val="24"/>
        </w:rPr>
        <w:t xml:space="preserve">and </w:t>
      </w:r>
      <w:r w:rsidR="002160C5">
        <w:rPr>
          <w:bCs/>
          <w:szCs w:val="24"/>
        </w:rPr>
        <w:t>Financial accounting 3</w:t>
      </w:r>
      <w:r w:rsidR="00554E6B">
        <w:rPr>
          <w:bCs/>
          <w:szCs w:val="24"/>
        </w:rPr>
        <w:t>.</w:t>
      </w:r>
    </w:p>
    <w:p w:rsidR="00A55B66" w:rsidRDefault="00A55B66" w:rsidP="00F73BFB">
      <w:pPr>
        <w:numPr>
          <w:ilvl w:val="0"/>
          <w:numId w:val="1"/>
        </w:num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COURSE DESCRIPTION</w:t>
      </w:r>
      <w:r w:rsidR="00CF73FF">
        <w:rPr>
          <w:b/>
          <w:bCs/>
          <w:szCs w:val="24"/>
        </w:rPr>
        <w:t>:</w:t>
      </w:r>
    </w:p>
    <w:p w:rsidR="00510D8E" w:rsidRPr="00502E1E" w:rsidRDefault="006A4510" w:rsidP="00360BA5">
      <w:pPr>
        <w:spacing w:after="0" w:line="360" w:lineRule="auto"/>
        <w:ind w:left="360"/>
        <w:jc w:val="both"/>
        <w:rPr>
          <w:b/>
          <w:bCs/>
          <w:szCs w:val="24"/>
        </w:rPr>
      </w:pPr>
      <w:r>
        <w:tab/>
      </w:r>
      <w:r w:rsidR="002160C5">
        <w:t>The Tax</w:t>
      </w:r>
      <w:r w:rsidR="00B05904">
        <w:t xml:space="preserve"> </w:t>
      </w:r>
      <w:r w:rsidR="002160C5">
        <w:t>Accounting</w:t>
      </w:r>
      <w:r w:rsidR="002D6BD1">
        <w:t xml:space="preserve"> course provides</w:t>
      </w:r>
      <w:r w:rsidR="00B83879">
        <w:t xml:space="preserve"> students</w:t>
      </w:r>
      <w:r w:rsidR="00B05904">
        <w:t xml:space="preserve"> with</w:t>
      </w:r>
      <w:r w:rsidR="002D6BD1">
        <w:t xml:space="preserve"> know</w:t>
      </w:r>
      <w:r w:rsidR="00AB6D55">
        <w:t>ledge</w:t>
      </w:r>
      <w:r w:rsidR="00D32389">
        <w:t xml:space="preserve"> and skills</w:t>
      </w:r>
      <w:r w:rsidR="00AB6D55">
        <w:t xml:space="preserve"> about </w:t>
      </w:r>
      <w:r w:rsidR="00B83879">
        <w:t>tax accounting</w:t>
      </w:r>
      <w:r w:rsidR="00D32389">
        <w:t xml:space="preserve">, such as </w:t>
      </w:r>
      <w:r w:rsidR="000C3BDF">
        <w:t>recording, calculating and preparing and presenting</w:t>
      </w:r>
      <w:r w:rsidR="00063A10">
        <w:t xml:space="preserve"> provisions for</w:t>
      </w:r>
      <w:r w:rsidR="00B05904">
        <w:t xml:space="preserve"> </w:t>
      </w:r>
      <w:r w:rsidR="00063A10">
        <w:t xml:space="preserve">tax in </w:t>
      </w:r>
      <w:r w:rsidR="000C3BDF" w:rsidRPr="000C3BDF">
        <w:t>the finan</w:t>
      </w:r>
      <w:r w:rsidR="000C3BDF">
        <w:t>cial statements and tax reports</w:t>
      </w:r>
      <w:r w:rsidR="00360BA5">
        <w:t>. S</w:t>
      </w:r>
      <w:r w:rsidR="00510D8E">
        <w:t xml:space="preserve">tudents are required to complete </w:t>
      </w:r>
      <w:r w:rsidR="009F1CAD">
        <w:t>Theory of Accounting course</w:t>
      </w:r>
      <w:r w:rsidR="00360BA5">
        <w:t xml:space="preserve"> and Financial Accounting 1</w:t>
      </w:r>
      <w:r w:rsidR="00063A10">
        <w:t xml:space="preserve"> course, Financial Accounting 2</w:t>
      </w:r>
      <w:r w:rsidR="00360BA5">
        <w:t xml:space="preserve"> course</w:t>
      </w:r>
      <w:r w:rsidR="00063A10">
        <w:t>, Financial Accounting 3 course</w:t>
      </w:r>
      <w:r w:rsidR="00510D8E">
        <w:t xml:space="preserve"> before registering this course. It is also prerequisite to t</w:t>
      </w:r>
      <w:r w:rsidR="00313D51">
        <w:t xml:space="preserve">ake </w:t>
      </w:r>
      <w:r w:rsidR="00063A10">
        <w:t>Tax</w:t>
      </w:r>
      <w:r w:rsidR="00313D51">
        <w:t>A</w:t>
      </w:r>
      <w:r w:rsidR="009F1CAD">
        <w:t>ccounting</w:t>
      </w:r>
      <w:r w:rsidR="00313D51">
        <w:t xml:space="preserve"> course</w:t>
      </w:r>
      <w:r w:rsidR="00510D8E">
        <w:t>.</w:t>
      </w:r>
    </w:p>
    <w:p w:rsidR="00932FB0" w:rsidRPr="002F4E94" w:rsidRDefault="00CF73FF" w:rsidP="00F73BFB">
      <w:pPr>
        <w:widowControl w:val="0"/>
        <w:numPr>
          <w:ilvl w:val="0"/>
          <w:numId w:val="1"/>
        </w:numPr>
        <w:spacing w:after="0" w:line="360" w:lineRule="auto"/>
        <w:jc w:val="both"/>
        <w:rPr>
          <w:b/>
          <w:szCs w:val="25"/>
        </w:rPr>
      </w:pPr>
      <w:r w:rsidRPr="002F4E94">
        <w:rPr>
          <w:b/>
          <w:bCs/>
          <w:szCs w:val="25"/>
        </w:rPr>
        <w:t>COURSE OBJECTIVES</w:t>
      </w:r>
    </w:p>
    <w:p w:rsidR="00CF73FF" w:rsidRPr="002F4E94" w:rsidRDefault="00CF73FF" w:rsidP="00F73BFB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b/>
          <w:szCs w:val="25"/>
        </w:rPr>
      </w:pPr>
      <w:r w:rsidRPr="002F4E94">
        <w:rPr>
          <w:b/>
          <w:szCs w:val="25"/>
        </w:rPr>
        <w:t>General objectives</w:t>
      </w:r>
    </w:p>
    <w:p w:rsidR="00681BD9" w:rsidRPr="002F4E94" w:rsidRDefault="006A4510" w:rsidP="00F73BFB">
      <w:pPr>
        <w:widowControl w:val="0"/>
        <w:spacing w:after="0" w:line="360" w:lineRule="auto"/>
        <w:ind w:left="360"/>
        <w:jc w:val="both"/>
        <w:rPr>
          <w:szCs w:val="25"/>
        </w:rPr>
      </w:pPr>
      <w:r w:rsidRPr="002F4E94">
        <w:rPr>
          <w:szCs w:val="25"/>
        </w:rPr>
        <w:tab/>
      </w:r>
      <w:r w:rsidR="006B00C1" w:rsidRPr="002F4E94">
        <w:rPr>
          <w:szCs w:val="25"/>
        </w:rPr>
        <w:t xml:space="preserve">This course aims to </w:t>
      </w:r>
      <w:r w:rsidR="0012579E" w:rsidRPr="002F4E94">
        <w:rPr>
          <w:szCs w:val="25"/>
        </w:rPr>
        <w:t xml:space="preserve">provide </w:t>
      </w:r>
      <w:r w:rsidRPr="002F4E94">
        <w:rPr>
          <w:szCs w:val="25"/>
        </w:rPr>
        <w:t xml:space="preserve">knowledge about </w:t>
      </w:r>
      <w:r w:rsidR="0012579E" w:rsidRPr="002F4E94">
        <w:rPr>
          <w:szCs w:val="25"/>
        </w:rPr>
        <w:t xml:space="preserve">tax </w:t>
      </w:r>
      <w:r w:rsidRPr="002F4E94">
        <w:rPr>
          <w:szCs w:val="25"/>
        </w:rPr>
        <w:t>accounting</w:t>
      </w:r>
      <w:r w:rsidR="0012579E" w:rsidRPr="002F4E94">
        <w:rPr>
          <w:szCs w:val="25"/>
        </w:rPr>
        <w:t xml:space="preserve"> and main categories of business tax</w:t>
      </w:r>
      <w:r w:rsidR="00AC74FF" w:rsidRPr="002F4E94">
        <w:rPr>
          <w:szCs w:val="25"/>
        </w:rPr>
        <w:t xml:space="preserve">, such as </w:t>
      </w:r>
      <w:r w:rsidR="0012579E" w:rsidRPr="002F4E94">
        <w:rPr>
          <w:szCs w:val="25"/>
        </w:rPr>
        <w:t>income tax, value added tax</w:t>
      </w:r>
      <w:r w:rsidR="009217FA" w:rsidRPr="002F4E94">
        <w:rPr>
          <w:szCs w:val="25"/>
        </w:rPr>
        <w:t>, Special sales tax, Import and Export Duties,</w:t>
      </w:r>
      <w:r w:rsidR="00B05904" w:rsidRPr="002F4E94">
        <w:rPr>
          <w:szCs w:val="25"/>
        </w:rPr>
        <w:t xml:space="preserve"> </w:t>
      </w:r>
      <w:r w:rsidR="009217FA" w:rsidRPr="002F4E94">
        <w:rPr>
          <w:szCs w:val="25"/>
        </w:rPr>
        <w:t>etc</w:t>
      </w:r>
      <w:r w:rsidR="006B00C1" w:rsidRPr="002F4E94">
        <w:rPr>
          <w:szCs w:val="25"/>
        </w:rPr>
        <w:t>.</w:t>
      </w:r>
      <w:r w:rsidR="00B05904" w:rsidRPr="002F4E94">
        <w:rPr>
          <w:szCs w:val="25"/>
        </w:rPr>
        <w:t xml:space="preserve"> </w:t>
      </w:r>
      <w:r w:rsidR="006B00C1" w:rsidRPr="002F4E94">
        <w:rPr>
          <w:szCs w:val="25"/>
        </w:rPr>
        <w:t xml:space="preserve">By the </w:t>
      </w:r>
      <w:r w:rsidR="00681BD9" w:rsidRPr="002F4E94">
        <w:rPr>
          <w:szCs w:val="25"/>
        </w:rPr>
        <w:t>end of the course, students are responsible for reading one or more articles relevant to the accounting topics we are studying taken from the business press and ethical judgment.</w:t>
      </w:r>
    </w:p>
    <w:p w:rsidR="00932FB0" w:rsidRPr="002F4E94" w:rsidRDefault="00B368B4" w:rsidP="00F73BFB">
      <w:pPr>
        <w:pStyle w:val="ListParagraph"/>
        <w:widowControl w:val="0"/>
        <w:numPr>
          <w:ilvl w:val="1"/>
          <w:numId w:val="1"/>
        </w:numPr>
        <w:spacing w:after="0" w:line="360" w:lineRule="auto"/>
        <w:jc w:val="both"/>
        <w:rPr>
          <w:b/>
          <w:szCs w:val="25"/>
        </w:rPr>
      </w:pPr>
      <w:r w:rsidRPr="002F4E94">
        <w:rPr>
          <w:b/>
          <w:szCs w:val="25"/>
        </w:rPr>
        <w:t>Detailed objectives:</w:t>
      </w:r>
    </w:p>
    <w:p w:rsidR="00681BD9" w:rsidRPr="002F4E94" w:rsidRDefault="00681BD9" w:rsidP="002F4E94">
      <w:pPr>
        <w:pStyle w:val="ListParagraph"/>
        <w:widowControl w:val="0"/>
        <w:numPr>
          <w:ilvl w:val="2"/>
          <w:numId w:val="1"/>
        </w:numPr>
        <w:spacing w:after="0" w:line="360" w:lineRule="auto"/>
        <w:jc w:val="both"/>
        <w:rPr>
          <w:b/>
          <w:szCs w:val="25"/>
        </w:rPr>
      </w:pPr>
      <w:r w:rsidRPr="002F4E94">
        <w:rPr>
          <w:b/>
          <w:szCs w:val="25"/>
        </w:rPr>
        <w:t>Knowledge objectives:</w:t>
      </w:r>
    </w:p>
    <w:p w:rsidR="00B368B4" w:rsidRPr="002F4E94" w:rsidRDefault="00B368B4" w:rsidP="00F73BFB">
      <w:pPr>
        <w:pStyle w:val="ListParagraph"/>
        <w:widowControl w:val="0"/>
        <w:spacing w:after="0" w:line="360" w:lineRule="auto"/>
        <w:ind w:left="426"/>
        <w:jc w:val="both"/>
        <w:rPr>
          <w:szCs w:val="25"/>
        </w:rPr>
      </w:pPr>
      <w:r w:rsidRPr="002F4E94">
        <w:rPr>
          <w:szCs w:val="25"/>
        </w:rPr>
        <w:t>After successfully completing this course, students will be able to:</w:t>
      </w:r>
    </w:p>
    <w:p w:rsidR="009217FA" w:rsidRPr="002F4E94" w:rsidRDefault="009217FA" w:rsidP="009217FA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t>Explain the relationship between accounting and provisions of taxation in relation with</w:t>
      </w:r>
      <w:r w:rsidR="00B05904" w:rsidRPr="002F4E94">
        <w:rPr>
          <w:szCs w:val="25"/>
        </w:rPr>
        <w:t xml:space="preserve"> </w:t>
      </w:r>
      <w:r w:rsidR="006C2AFB" w:rsidRPr="002F4E94">
        <w:rPr>
          <w:szCs w:val="25"/>
        </w:rPr>
        <w:t xml:space="preserve">the </w:t>
      </w:r>
      <w:r w:rsidRPr="002F4E94">
        <w:rPr>
          <w:szCs w:val="25"/>
        </w:rPr>
        <w:t>accounting system;</w:t>
      </w:r>
    </w:p>
    <w:p w:rsidR="009217FA" w:rsidRPr="002F4E94" w:rsidRDefault="009217FA" w:rsidP="006C2AFB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lastRenderedPageBreak/>
        <w:t>Present monitor</w:t>
      </w:r>
      <w:r w:rsidR="006C2AFB" w:rsidRPr="002F4E94">
        <w:rPr>
          <w:szCs w:val="25"/>
        </w:rPr>
        <w:t xml:space="preserve">ing and recording </w:t>
      </w:r>
      <w:r w:rsidRPr="002F4E94">
        <w:rPr>
          <w:szCs w:val="25"/>
        </w:rPr>
        <w:t>major taxes</w:t>
      </w:r>
      <w:r w:rsidR="006C2AFB" w:rsidRPr="002F4E94">
        <w:rPr>
          <w:szCs w:val="25"/>
        </w:rPr>
        <w:t xml:space="preserve"> affected </w:t>
      </w:r>
      <w:r w:rsidR="006C60AC" w:rsidRPr="002F4E94">
        <w:rPr>
          <w:szCs w:val="25"/>
        </w:rPr>
        <w:t>certain specific activities</w:t>
      </w:r>
      <w:r w:rsidRPr="002F4E94">
        <w:rPr>
          <w:szCs w:val="25"/>
        </w:rPr>
        <w:t>, including value added tax, corporate income</w:t>
      </w:r>
      <w:r w:rsidR="006C60AC" w:rsidRPr="002F4E94">
        <w:rPr>
          <w:szCs w:val="25"/>
        </w:rPr>
        <w:t xml:space="preserve"> tax</w:t>
      </w:r>
      <w:r w:rsidRPr="002F4E94">
        <w:rPr>
          <w:szCs w:val="25"/>
        </w:rPr>
        <w:t>, personal income</w:t>
      </w:r>
      <w:r w:rsidR="006C60AC" w:rsidRPr="002F4E94">
        <w:rPr>
          <w:szCs w:val="25"/>
        </w:rPr>
        <w:t xml:space="preserve"> tax</w:t>
      </w:r>
      <w:r w:rsidRPr="002F4E94">
        <w:rPr>
          <w:szCs w:val="25"/>
        </w:rPr>
        <w:t xml:space="preserve">, </w:t>
      </w:r>
      <w:r w:rsidR="006C60AC" w:rsidRPr="002F4E94">
        <w:rPr>
          <w:szCs w:val="25"/>
        </w:rPr>
        <w:t>special sales tax</w:t>
      </w:r>
      <w:r w:rsidRPr="002F4E94">
        <w:rPr>
          <w:szCs w:val="25"/>
        </w:rPr>
        <w:t xml:space="preserve"> and import and export</w:t>
      </w:r>
      <w:r w:rsidR="006C60AC" w:rsidRPr="002F4E94">
        <w:rPr>
          <w:szCs w:val="25"/>
        </w:rPr>
        <w:t xml:space="preserve"> duties</w:t>
      </w:r>
      <w:r w:rsidRPr="002F4E94">
        <w:rPr>
          <w:szCs w:val="25"/>
        </w:rPr>
        <w:t>;</w:t>
      </w:r>
    </w:p>
    <w:p w:rsidR="009217FA" w:rsidRPr="002F4E94" w:rsidRDefault="009217FA" w:rsidP="009217FA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t>Explain the basis of calculati</w:t>
      </w:r>
      <w:r w:rsidR="00B05904" w:rsidRPr="002F4E94">
        <w:rPr>
          <w:szCs w:val="25"/>
        </w:rPr>
        <w:t>on, declaration and finalisation</w:t>
      </w:r>
      <w:r w:rsidRPr="002F4E94">
        <w:rPr>
          <w:szCs w:val="25"/>
        </w:rPr>
        <w:t xml:space="preserve"> with periodical re</w:t>
      </w:r>
      <w:r w:rsidR="006C60AC" w:rsidRPr="002F4E94">
        <w:rPr>
          <w:szCs w:val="25"/>
        </w:rPr>
        <w:t>ports and annual tax settlement</w:t>
      </w:r>
      <w:r w:rsidRPr="002F4E94">
        <w:rPr>
          <w:szCs w:val="25"/>
        </w:rPr>
        <w:t>;</w:t>
      </w:r>
    </w:p>
    <w:p w:rsidR="00BB2DC6" w:rsidRPr="002F4E94" w:rsidRDefault="009217FA" w:rsidP="00F36D3A">
      <w:pPr>
        <w:pStyle w:val="ListParagraph"/>
        <w:widowControl w:val="0"/>
        <w:numPr>
          <w:ilvl w:val="0"/>
          <w:numId w:val="7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t xml:space="preserve">Explain the basis of the </w:t>
      </w:r>
      <w:r w:rsidR="00B2221C" w:rsidRPr="002F4E94">
        <w:rPr>
          <w:szCs w:val="25"/>
        </w:rPr>
        <w:t xml:space="preserve">tax </w:t>
      </w:r>
      <w:r w:rsidRPr="002F4E94">
        <w:rPr>
          <w:szCs w:val="25"/>
        </w:rPr>
        <w:t>information presen</w:t>
      </w:r>
      <w:r w:rsidR="00B2221C" w:rsidRPr="002F4E94">
        <w:rPr>
          <w:szCs w:val="25"/>
        </w:rPr>
        <w:t>ted in the financial statements</w:t>
      </w:r>
      <w:r w:rsidRPr="002F4E94">
        <w:rPr>
          <w:szCs w:val="25"/>
        </w:rPr>
        <w:t>.</w:t>
      </w:r>
    </w:p>
    <w:p w:rsidR="00F832B5" w:rsidRPr="002F4E94" w:rsidRDefault="00F832B5" w:rsidP="002F4E94">
      <w:pPr>
        <w:pStyle w:val="ListParagraph"/>
        <w:widowControl w:val="0"/>
        <w:numPr>
          <w:ilvl w:val="2"/>
          <w:numId w:val="1"/>
        </w:numPr>
        <w:spacing w:after="0" w:line="360" w:lineRule="auto"/>
        <w:jc w:val="both"/>
        <w:rPr>
          <w:b/>
          <w:szCs w:val="25"/>
        </w:rPr>
      </w:pPr>
      <w:r w:rsidRPr="002F4E94">
        <w:rPr>
          <w:b/>
          <w:szCs w:val="25"/>
        </w:rPr>
        <w:t>Skill objectives:</w:t>
      </w:r>
    </w:p>
    <w:p w:rsidR="000E7449" w:rsidRPr="002F4E94" w:rsidRDefault="00736841" w:rsidP="00F73BFB">
      <w:pPr>
        <w:pStyle w:val="ListParagraph"/>
        <w:widowControl w:val="0"/>
        <w:spacing w:after="0" w:line="360" w:lineRule="auto"/>
        <w:ind w:left="474"/>
        <w:jc w:val="both"/>
        <w:rPr>
          <w:b/>
          <w:szCs w:val="25"/>
        </w:rPr>
      </w:pPr>
      <w:r w:rsidRPr="002F4E94">
        <w:rPr>
          <w:szCs w:val="25"/>
        </w:rPr>
        <w:t>As c</w:t>
      </w:r>
      <w:r w:rsidR="000E7449" w:rsidRPr="002F4E94">
        <w:rPr>
          <w:szCs w:val="25"/>
        </w:rPr>
        <w:t>ompleting this course, students are expected to:</w:t>
      </w:r>
    </w:p>
    <w:p w:rsidR="009217FA" w:rsidRPr="002F4E94" w:rsidRDefault="00B05904" w:rsidP="009217FA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t>Handle</w:t>
      </w:r>
      <w:r w:rsidR="00B2221C" w:rsidRPr="002F4E94">
        <w:rPr>
          <w:szCs w:val="25"/>
        </w:rPr>
        <w:t xml:space="preserve"> accounting data for</w:t>
      </w:r>
      <w:r w:rsidRPr="002F4E94">
        <w:rPr>
          <w:szCs w:val="25"/>
        </w:rPr>
        <w:t xml:space="preserve"> </w:t>
      </w:r>
      <w:r w:rsidR="00B2221C" w:rsidRPr="002F4E94">
        <w:rPr>
          <w:szCs w:val="25"/>
        </w:rPr>
        <w:t xml:space="preserve">monthly, quarterly </w:t>
      </w:r>
      <w:r w:rsidR="009217FA" w:rsidRPr="002F4E94">
        <w:rPr>
          <w:szCs w:val="25"/>
        </w:rPr>
        <w:t xml:space="preserve">tax declarations and annual </w:t>
      </w:r>
      <w:r w:rsidR="00B2221C" w:rsidRPr="002F4E94">
        <w:rPr>
          <w:szCs w:val="25"/>
        </w:rPr>
        <w:t>taxes settlement</w:t>
      </w:r>
      <w:r w:rsidR="009217FA" w:rsidRPr="002F4E94">
        <w:rPr>
          <w:szCs w:val="25"/>
        </w:rPr>
        <w:t>;</w:t>
      </w:r>
    </w:p>
    <w:p w:rsidR="009217FA" w:rsidRPr="002F4E94" w:rsidRDefault="009217FA" w:rsidP="009217FA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t xml:space="preserve">Identify the opportunities and risks </w:t>
      </w:r>
      <w:r w:rsidR="00B2221C" w:rsidRPr="002F4E94">
        <w:rPr>
          <w:szCs w:val="25"/>
        </w:rPr>
        <w:t xml:space="preserve">of enterprise about </w:t>
      </w:r>
      <w:proofErr w:type="gramStart"/>
      <w:r w:rsidRPr="002F4E94">
        <w:rPr>
          <w:szCs w:val="25"/>
        </w:rPr>
        <w:t>tax</w:t>
      </w:r>
      <w:r w:rsidR="00B2221C" w:rsidRPr="002F4E94">
        <w:rPr>
          <w:szCs w:val="25"/>
        </w:rPr>
        <w:t xml:space="preserve">ation </w:t>
      </w:r>
      <w:r w:rsidRPr="002F4E94">
        <w:rPr>
          <w:szCs w:val="25"/>
        </w:rPr>
        <w:t>;</w:t>
      </w:r>
      <w:proofErr w:type="gramEnd"/>
    </w:p>
    <w:p w:rsidR="009217FA" w:rsidRPr="002F4E94" w:rsidRDefault="00B27E51" w:rsidP="009217FA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t>Plan tax</w:t>
      </w:r>
      <w:r w:rsidR="009217FA" w:rsidRPr="002F4E94">
        <w:rPr>
          <w:szCs w:val="25"/>
        </w:rPr>
        <w:t xml:space="preserve"> at the basic level.</w:t>
      </w:r>
    </w:p>
    <w:p w:rsidR="002B182A" w:rsidRPr="002F4E94" w:rsidRDefault="00B27E51" w:rsidP="00B27E51">
      <w:pPr>
        <w:pStyle w:val="ListParagraph"/>
        <w:widowControl w:val="0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t>Use</w:t>
      </w:r>
      <w:r w:rsidR="002B182A" w:rsidRPr="002F4E94">
        <w:rPr>
          <w:szCs w:val="25"/>
        </w:rPr>
        <w:t xml:space="preserve"> Excel spreadsheet</w:t>
      </w:r>
      <w:r w:rsidRPr="002F4E94">
        <w:rPr>
          <w:szCs w:val="25"/>
        </w:rPr>
        <w:t xml:space="preserve"> and tax declaration software</w:t>
      </w:r>
      <w:r w:rsidR="002B182A" w:rsidRPr="002F4E94">
        <w:rPr>
          <w:szCs w:val="25"/>
        </w:rPr>
        <w:t xml:space="preserve"> in </w:t>
      </w:r>
      <w:r w:rsidRPr="002F4E94">
        <w:rPr>
          <w:szCs w:val="25"/>
        </w:rPr>
        <w:t>tax accounting</w:t>
      </w:r>
      <w:r w:rsidR="002B182A" w:rsidRPr="002F4E94">
        <w:rPr>
          <w:szCs w:val="25"/>
        </w:rPr>
        <w:t>.</w:t>
      </w:r>
    </w:p>
    <w:p w:rsidR="002352A4" w:rsidRPr="002F4E94" w:rsidRDefault="002352A4" w:rsidP="00F73B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Cs w:val="25"/>
        </w:rPr>
      </w:pPr>
      <w:r w:rsidRPr="002F4E94">
        <w:rPr>
          <w:szCs w:val="25"/>
        </w:rPr>
        <w:t>Ability to use resources such as professional standards, regulations, and other financial data to research accounting-related issues.</w:t>
      </w:r>
    </w:p>
    <w:p w:rsidR="00F832B5" w:rsidRPr="002F4E94" w:rsidRDefault="00F832B5" w:rsidP="002F4E94">
      <w:pPr>
        <w:pStyle w:val="ListParagraph"/>
        <w:widowControl w:val="0"/>
        <w:numPr>
          <w:ilvl w:val="2"/>
          <w:numId w:val="1"/>
        </w:numPr>
        <w:spacing w:after="0" w:line="360" w:lineRule="auto"/>
        <w:jc w:val="both"/>
        <w:rPr>
          <w:b/>
          <w:szCs w:val="25"/>
        </w:rPr>
      </w:pPr>
      <w:r w:rsidRPr="002F4E94">
        <w:rPr>
          <w:b/>
          <w:szCs w:val="25"/>
        </w:rPr>
        <w:t>Attitude objectives:</w:t>
      </w:r>
    </w:p>
    <w:p w:rsidR="00FD2809" w:rsidRPr="002F4E94" w:rsidRDefault="00FD2809" w:rsidP="00F73BFB">
      <w:pPr>
        <w:pStyle w:val="ListParagraph"/>
        <w:widowControl w:val="0"/>
        <w:spacing w:after="0" w:line="360" w:lineRule="auto"/>
        <w:ind w:left="426"/>
        <w:jc w:val="both"/>
        <w:rPr>
          <w:szCs w:val="25"/>
        </w:rPr>
      </w:pPr>
      <w:r w:rsidRPr="002F4E94">
        <w:rPr>
          <w:szCs w:val="25"/>
        </w:rPr>
        <w:t>Students will demonstrate dedication to the following professional values and attitudes needed for success in the accounting profession:</w:t>
      </w:r>
    </w:p>
    <w:p w:rsidR="00FD2809" w:rsidRPr="002F4E94" w:rsidRDefault="00FD2809" w:rsidP="00F73BFB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Cs w:val="25"/>
        </w:rPr>
      </w:pPr>
      <w:r w:rsidRPr="002F4E94">
        <w:rPr>
          <w:szCs w:val="25"/>
        </w:rPr>
        <w:t>Value-based reasoning techniques under conditions of uncertainty to enhance personal objectivity, integrity, and ethical conduct.</w:t>
      </w:r>
    </w:p>
    <w:p w:rsidR="00FD2809" w:rsidRPr="002F4E94" w:rsidRDefault="00FD2809" w:rsidP="00F73BFB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Cs w:val="25"/>
        </w:rPr>
      </w:pPr>
      <w:r w:rsidRPr="002F4E94">
        <w:rPr>
          <w:szCs w:val="25"/>
        </w:rPr>
        <w:t>Motivation and commitment to continue learning throughout life to maintain professional knowledge and skills.</w:t>
      </w:r>
    </w:p>
    <w:p w:rsidR="00F94818" w:rsidRPr="002F4E94" w:rsidRDefault="000C1CFD" w:rsidP="0042088F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1276"/>
        <w:jc w:val="both"/>
        <w:rPr>
          <w:szCs w:val="25"/>
        </w:rPr>
      </w:pPr>
      <w:r w:rsidRPr="002F4E94">
        <w:rPr>
          <w:szCs w:val="25"/>
        </w:rPr>
        <w:t xml:space="preserve">Understand and comply </w:t>
      </w:r>
      <w:r w:rsidR="00843246" w:rsidRPr="002F4E94">
        <w:rPr>
          <w:szCs w:val="25"/>
        </w:rPr>
        <w:t>accounting</w:t>
      </w:r>
      <w:r w:rsidRPr="002F4E94">
        <w:rPr>
          <w:szCs w:val="25"/>
        </w:rPr>
        <w:t xml:space="preserve"> professional ethics</w:t>
      </w:r>
      <w:r w:rsidR="00FD2809" w:rsidRPr="002F4E94">
        <w:rPr>
          <w:szCs w:val="25"/>
        </w:rPr>
        <w:t>.</w:t>
      </w:r>
    </w:p>
    <w:p w:rsidR="00B00361" w:rsidRPr="002F4E94" w:rsidRDefault="0042088F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2F4E94">
        <w:rPr>
          <w:rFonts w:ascii="Times New Roman" w:hAnsi="Times New Roman"/>
          <w:b/>
          <w:sz w:val="25"/>
          <w:szCs w:val="25"/>
        </w:rPr>
        <w:t>APPROACHES TO TEACHING AND LEARNING</w:t>
      </w:r>
    </w:p>
    <w:p w:rsidR="00F73BFB" w:rsidRPr="002F4E94" w:rsidRDefault="0028246C" w:rsidP="00F73BFB">
      <w:pPr>
        <w:spacing w:after="0" w:line="360" w:lineRule="auto"/>
        <w:jc w:val="both"/>
        <w:rPr>
          <w:rFonts w:eastAsia="Times New Roman" w:cs="Times New Roman"/>
          <w:szCs w:val="25"/>
          <w:lang w:val="en-GB"/>
        </w:rPr>
      </w:pPr>
      <w:r w:rsidRPr="002F4E94">
        <w:rPr>
          <w:rFonts w:eastAsia="Times New Roman" w:cs="Times New Roman"/>
          <w:szCs w:val="25"/>
          <w:lang w:val="en-GB"/>
        </w:rPr>
        <w:t xml:space="preserve">Lectures: </w:t>
      </w:r>
      <w:r w:rsidR="006C6E5A" w:rsidRPr="002F4E94">
        <w:rPr>
          <w:rFonts w:eastAsia="Times New Roman" w:cs="Times New Roman"/>
          <w:szCs w:val="25"/>
          <w:lang w:val="en-GB"/>
        </w:rPr>
        <w:t>2</w:t>
      </w:r>
      <w:r w:rsidR="00A54C46" w:rsidRPr="002F4E94">
        <w:rPr>
          <w:rFonts w:eastAsia="Times New Roman" w:cs="Times New Roman"/>
          <w:szCs w:val="25"/>
          <w:lang w:val="en-GB"/>
        </w:rPr>
        <w:t>7</w:t>
      </w:r>
      <w:r w:rsidRPr="002F4E94">
        <w:rPr>
          <w:rFonts w:eastAsia="Times New Roman" w:cs="Times New Roman"/>
          <w:szCs w:val="25"/>
          <w:lang w:val="en-GB"/>
        </w:rPr>
        <w:t xml:space="preserve"> hours </w:t>
      </w:r>
      <w:r w:rsidR="0021253E" w:rsidRPr="002F4E94">
        <w:rPr>
          <w:rFonts w:eastAsia="Times New Roman" w:cs="Times New Roman"/>
          <w:szCs w:val="25"/>
          <w:lang w:val="en-GB"/>
        </w:rPr>
        <w:t>with</w:t>
      </w:r>
      <w:r w:rsidRPr="002F4E94">
        <w:rPr>
          <w:rFonts w:eastAsia="Times New Roman" w:cs="Times New Roman"/>
          <w:szCs w:val="25"/>
          <w:lang w:val="en-GB"/>
        </w:rPr>
        <w:t xml:space="preserve">in </w:t>
      </w:r>
      <w:r w:rsidR="006C6E5A" w:rsidRPr="002F4E94">
        <w:rPr>
          <w:rFonts w:eastAsia="Times New Roman" w:cs="Times New Roman"/>
          <w:szCs w:val="25"/>
          <w:lang w:val="en-GB"/>
        </w:rPr>
        <w:t>4</w:t>
      </w:r>
      <w:r w:rsidRPr="002F4E94">
        <w:rPr>
          <w:rFonts w:eastAsia="Times New Roman" w:cs="Times New Roman"/>
          <w:szCs w:val="25"/>
          <w:lang w:val="en-GB"/>
        </w:rPr>
        <w:t xml:space="preserve"> weeks</w:t>
      </w:r>
    </w:p>
    <w:p w:rsidR="00510D8E" w:rsidRPr="002F4E94" w:rsidRDefault="00A54C46" w:rsidP="00F73BFB">
      <w:pPr>
        <w:spacing w:after="0" w:line="360" w:lineRule="auto"/>
        <w:jc w:val="both"/>
        <w:rPr>
          <w:rFonts w:eastAsia="Times New Roman" w:cs="Times New Roman"/>
          <w:szCs w:val="25"/>
          <w:lang w:val="en-GB"/>
        </w:rPr>
      </w:pPr>
      <w:r w:rsidRPr="002F4E94">
        <w:rPr>
          <w:rFonts w:eastAsia="Times New Roman" w:cs="Times New Roman"/>
          <w:szCs w:val="25"/>
          <w:lang w:val="en-GB"/>
        </w:rPr>
        <w:t>Practical: 18</w:t>
      </w:r>
      <w:r w:rsidR="0028246C" w:rsidRPr="002F4E94">
        <w:rPr>
          <w:rFonts w:eastAsia="Times New Roman" w:cs="Times New Roman"/>
          <w:szCs w:val="25"/>
          <w:lang w:val="en-GB"/>
        </w:rPr>
        <w:t xml:space="preserve"> hours </w:t>
      </w:r>
      <w:r w:rsidR="0021253E" w:rsidRPr="002F4E94">
        <w:rPr>
          <w:rFonts w:eastAsia="Times New Roman" w:cs="Times New Roman"/>
          <w:szCs w:val="25"/>
          <w:lang w:val="en-GB"/>
        </w:rPr>
        <w:t>with</w:t>
      </w:r>
      <w:r w:rsidR="006C6E5A" w:rsidRPr="002F4E94">
        <w:rPr>
          <w:rFonts w:eastAsia="Times New Roman" w:cs="Times New Roman"/>
          <w:szCs w:val="25"/>
          <w:lang w:val="en-GB"/>
        </w:rPr>
        <w:t>in 4</w:t>
      </w:r>
      <w:r w:rsidR="0028246C" w:rsidRPr="002F4E94">
        <w:rPr>
          <w:rFonts w:eastAsia="Times New Roman" w:cs="Times New Roman"/>
          <w:szCs w:val="25"/>
          <w:lang w:val="en-GB"/>
        </w:rPr>
        <w:t xml:space="preserve"> weeks</w:t>
      </w:r>
      <w:r w:rsidR="000656E7" w:rsidRPr="002F4E94">
        <w:rPr>
          <w:rFonts w:eastAsia="Times New Roman" w:cs="Times New Roman"/>
          <w:szCs w:val="25"/>
          <w:lang w:val="en-GB"/>
        </w:rPr>
        <w:t xml:space="preserve">. You will be encouraged to </w:t>
      </w:r>
      <w:r w:rsidR="00510D8E" w:rsidRPr="002F4E94">
        <w:rPr>
          <w:rFonts w:eastAsia="Times New Roman" w:cs="Times New Roman"/>
          <w:szCs w:val="25"/>
          <w:lang w:val="en-GB"/>
        </w:rPr>
        <w:t>practise bookkeeping, conduct accounting treatments and prepare supporting documents</w:t>
      </w:r>
      <w:r w:rsidR="000656E7" w:rsidRPr="002F4E94">
        <w:rPr>
          <w:rFonts w:eastAsia="Times New Roman" w:cs="Times New Roman"/>
          <w:szCs w:val="25"/>
          <w:lang w:val="en-GB"/>
        </w:rPr>
        <w:t xml:space="preserve"> to address the week's learning objectives. These activities provide you with formative feedback on your progress.</w:t>
      </w:r>
    </w:p>
    <w:p w:rsidR="000656E7" w:rsidRPr="002F4E94" w:rsidRDefault="0042088F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2F4E94">
        <w:rPr>
          <w:rFonts w:ascii="Times New Roman" w:hAnsi="Times New Roman"/>
          <w:b/>
          <w:sz w:val="25"/>
          <w:szCs w:val="25"/>
        </w:rPr>
        <w:t>ASSESSMENT</w:t>
      </w:r>
    </w:p>
    <w:p w:rsidR="000656E7" w:rsidRPr="002F4E94" w:rsidRDefault="000656E7" w:rsidP="00F73BFB">
      <w:pPr>
        <w:spacing w:after="0" w:line="360" w:lineRule="auto"/>
        <w:jc w:val="both"/>
        <w:rPr>
          <w:rFonts w:eastAsia="Times New Roman"/>
          <w:szCs w:val="25"/>
          <w:lang w:val="en-GB"/>
        </w:rPr>
      </w:pPr>
      <w:r w:rsidRPr="002F4E94">
        <w:rPr>
          <w:rFonts w:eastAsia="Times New Roman" w:cs="Times New Roman"/>
          <w:szCs w:val="25"/>
          <w:lang w:val="en-GB"/>
        </w:rPr>
        <w:t>Students will be expected to undertake the following assessments related to the learning outcomes of this unit.</w:t>
      </w:r>
    </w:p>
    <w:p w:rsidR="000656E7" w:rsidRPr="002F4E94" w:rsidRDefault="000656E7" w:rsidP="00F73BFB">
      <w:pPr>
        <w:spacing w:after="0" w:line="360" w:lineRule="auto"/>
        <w:jc w:val="both"/>
        <w:rPr>
          <w:rFonts w:eastAsia="Times New Roman" w:cs="Times New Roman"/>
          <w:szCs w:val="25"/>
          <w:lang w:val="en-GB"/>
        </w:rPr>
      </w:pPr>
      <w:r w:rsidRPr="002F4E94">
        <w:rPr>
          <w:rFonts w:eastAsia="Times New Roman" w:cs="Times New Roman"/>
          <w:szCs w:val="25"/>
          <w:lang w:val="en-GB"/>
        </w:rPr>
        <w:lastRenderedPageBreak/>
        <w:t>Students will receive feedback from academics based upon their engagement with and completion of practical tasks and will be encouraged to assess their own progress using voluntary quizzes.</w:t>
      </w:r>
    </w:p>
    <w:p w:rsidR="00510D8E" w:rsidRPr="002F4E94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2F4E94">
        <w:rPr>
          <w:rFonts w:ascii="Times New Roman" w:hAnsi="Times New Roman"/>
          <w:sz w:val="25"/>
          <w:szCs w:val="25"/>
        </w:rPr>
        <w:t xml:space="preserve">Name of assessment: </w:t>
      </w:r>
      <w:r w:rsidR="00F832B5" w:rsidRPr="002F4E94">
        <w:rPr>
          <w:rFonts w:ascii="Times New Roman" w:hAnsi="Times New Roman"/>
          <w:sz w:val="25"/>
          <w:szCs w:val="25"/>
        </w:rPr>
        <w:t>Final examination</w:t>
      </w:r>
    </w:p>
    <w:p w:rsidR="00586A5E" w:rsidRPr="002F4E94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eastAsia="Times New Roman"/>
          <w:bCs/>
          <w:sz w:val="25"/>
          <w:szCs w:val="25"/>
          <w:lang w:val="en-GB"/>
        </w:rPr>
      </w:pPr>
      <w:r w:rsidRPr="002F4E94">
        <w:rPr>
          <w:rFonts w:eastAsia="Times New Roman"/>
          <w:bCs/>
          <w:sz w:val="25"/>
          <w:szCs w:val="25"/>
          <w:lang w:val="en-GB"/>
        </w:rPr>
        <w:t>Group or individual:</w:t>
      </w:r>
      <w:r w:rsidRPr="002F4E94">
        <w:rPr>
          <w:rFonts w:eastAsia="Times New Roman"/>
          <w:sz w:val="25"/>
          <w:szCs w:val="25"/>
          <w:lang w:val="en-GB"/>
        </w:rPr>
        <w:t xml:space="preserve"> Individual</w:t>
      </w:r>
    </w:p>
    <w:p w:rsidR="00510D8E" w:rsidRPr="002F4E94" w:rsidRDefault="00510D8E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eastAsia="Times New Roman"/>
          <w:bCs/>
          <w:sz w:val="25"/>
          <w:szCs w:val="25"/>
          <w:lang w:val="en-GB"/>
        </w:rPr>
      </w:pPr>
      <w:r w:rsidRPr="002F4E94">
        <w:rPr>
          <w:rFonts w:eastAsia="Times New Roman"/>
          <w:bCs/>
          <w:sz w:val="25"/>
          <w:szCs w:val="25"/>
          <w:lang w:val="en-GB"/>
        </w:rPr>
        <w:t>Due date: End of semester</w:t>
      </w:r>
    </w:p>
    <w:p w:rsidR="000656E7" w:rsidRPr="002F4E94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2F4E94">
        <w:rPr>
          <w:rFonts w:ascii="Times New Roman" w:hAnsi="Times New Roman"/>
          <w:sz w:val="25"/>
          <w:szCs w:val="25"/>
        </w:rPr>
        <w:t>Score grading scale: The course grading scale is 10-point system, with ten being the highest and zero being the lowest.</w:t>
      </w:r>
    </w:p>
    <w:p w:rsidR="000656E7" w:rsidRPr="002F4E94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2F4E94">
        <w:rPr>
          <w:rFonts w:ascii="Times New Roman" w:hAnsi="Times New Roman"/>
          <w:sz w:val="25"/>
          <w:szCs w:val="25"/>
        </w:rPr>
        <w:t xml:space="preserve">Type of assessment: multi-choice questions combined with discussion questions. The students do not allow to using study materials during the examination time. </w:t>
      </w:r>
    </w:p>
    <w:p w:rsidR="000656E7" w:rsidRPr="002F4E94" w:rsidRDefault="000656E7" w:rsidP="00F73BFB">
      <w:pPr>
        <w:pStyle w:val="BodyTextIndent"/>
        <w:widowControl w:val="0"/>
        <w:numPr>
          <w:ilvl w:val="1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2F4E94">
        <w:rPr>
          <w:rFonts w:ascii="Times New Roman" w:hAnsi="Times New Roman"/>
          <w:sz w:val="25"/>
          <w:szCs w:val="25"/>
        </w:rPr>
        <w:t>Method and conduct of assessment: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4240"/>
        <w:gridCol w:w="3135"/>
      </w:tblGrid>
      <w:tr w:rsidR="000656E7" w:rsidRPr="002F4E94" w:rsidTr="002D6BD1">
        <w:tc>
          <w:tcPr>
            <w:tcW w:w="1768" w:type="dxa"/>
            <w:shd w:val="clear" w:color="auto" w:fill="FFFFFF"/>
          </w:tcPr>
          <w:p w:rsidR="000656E7" w:rsidRPr="002F4E94" w:rsidRDefault="000656E7" w:rsidP="00F73BFB">
            <w:pPr>
              <w:spacing w:after="0" w:line="360" w:lineRule="auto"/>
              <w:jc w:val="center"/>
              <w:rPr>
                <w:b/>
                <w:szCs w:val="25"/>
              </w:rPr>
            </w:pPr>
            <w:r w:rsidRPr="002F4E94">
              <w:rPr>
                <w:b/>
                <w:szCs w:val="25"/>
              </w:rPr>
              <w:t>No.</w:t>
            </w:r>
          </w:p>
        </w:tc>
        <w:tc>
          <w:tcPr>
            <w:tcW w:w="4260" w:type="dxa"/>
            <w:shd w:val="clear" w:color="auto" w:fill="FFFFFF"/>
          </w:tcPr>
          <w:p w:rsidR="000656E7" w:rsidRPr="002F4E94" w:rsidRDefault="000656E7" w:rsidP="00F73BFB">
            <w:pPr>
              <w:spacing w:after="0" w:line="360" w:lineRule="auto"/>
              <w:jc w:val="center"/>
              <w:rPr>
                <w:b/>
                <w:szCs w:val="25"/>
              </w:rPr>
            </w:pPr>
            <w:r w:rsidRPr="002F4E94">
              <w:rPr>
                <w:b/>
                <w:szCs w:val="25"/>
              </w:rPr>
              <w:t>Method of assessment</w:t>
            </w:r>
          </w:p>
        </w:tc>
        <w:tc>
          <w:tcPr>
            <w:tcW w:w="3152" w:type="dxa"/>
            <w:shd w:val="clear" w:color="auto" w:fill="FFFFFF"/>
          </w:tcPr>
          <w:p w:rsidR="000656E7" w:rsidRPr="002F4E94" w:rsidRDefault="000656E7" w:rsidP="00F73BFB">
            <w:pPr>
              <w:spacing w:after="0" w:line="360" w:lineRule="auto"/>
              <w:jc w:val="center"/>
              <w:rPr>
                <w:b/>
                <w:szCs w:val="25"/>
              </w:rPr>
            </w:pPr>
            <w:r w:rsidRPr="002F4E94">
              <w:rPr>
                <w:b/>
                <w:szCs w:val="25"/>
              </w:rPr>
              <w:t>Ratio</w:t>
            </w:r>
          </w:p>
        </w:tc>
      </w:tr>
      <w:tr w:rsidR="000656E7" w:rsidRPr="002F4E94" w:rsidTr="002D6BD1">
        <w:tc>
          <w:tcPr>
            <w:tcW w:w="1768" w:type="dxa"/>
          </w:tcPr>
          <w:p w:rsidR="000656E7" w:rsidRPr="002F4E94" w:rsidRDefault="000656E7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2F4E94">
              <w:rPr>
                <w:szCs w:val="25"/>
              </w:rPr>
              <w:t>1</w:t>
            </w:r>
          </w:p>
        </w:tc>
        <w:tc>
          <w:tcPr>
            <w:tcW w:w="4260" w:type="dxa"/>
          </w:tcPr>
          <w:p w:rsidR="000656E7" w:rsidRPr="002F4E94" w:rsidRDefault="000656E7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2F4E94">
              <w:rPr>
                <w:szCs w:val="25"/>
              </w:rPr>
              <w:t>Mid-term examination</w:t>
            </w:r>
          </w:p>
        </w:tc>
        <w:tc>
          <w:tcPr>
            <w:tcW w:w="3152" w:type="dxa"/>
          </w:tcPr>
          <w:p w:rsidR="000656E7" w:rsidRPr="002F4E94" w:rsidRDefault="0028246C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2F4E94">
              <w:rPr>
                <w:szCs w:val="25"/>
              </w:rPr>
              <w:t>4</w:t>
            </w:r>
            <w:r w:rsidR="000656E7" w:rsidRPr="002F4E94">
              <w:rPr>
                <w:szCs w:val="25"/>
              </w:rPr>
              <w:t>0%</w:t>
            </w:r>
          </w:p>
        </w:tc>
      </w:tr>
      <w:tr w:rsidR="000656E7" w:rsidRPr="002F4E94" w:rsidTr="002D6BD1">
        <w:tc>
          <w:tcPr>
            <w:tcW w:w="1768" w:type="dxa"/>
          </w:tcPr>
          <w:p w:rsidR="000656E7" w:rsidRPr="002F4E94" w:rsidRDefault="000656E7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2F4E94">
              <w:rPr>
                <w:szCs w:val="25"/>
              </w:rPr>
              <w:t>2</w:t>
            </w:r>
          </w:p>
        </w:tc>
        <w:tc>
          <w:tcPr>
            <w:tcW w:w="4260" w:type="dxa"/>
          </w:tcPr>
          <w:p w:rsidR="000656E7" w:rsidRPr="002F4E94" w:rsidRDefault="000656E7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2F4E94">
              <w:rPr>
                <w:szCs w:val="25"/>
              </w:rPr>
              <w:t>Final examination</w:t>
            </w:r>
          </w:p>
        </w:tc>
        <w:tc>
          <w:tcPr>
            <w:tcW w:w="3152" w:type="dxa"/>
          </w:tcPr>
          <w:p w:rsidR="000656E7" w:rsidRPr="002F4E94" w:rsidRDefault="0028246C" w:rsidP="00F73BFB">
            <w:pPr>
              <w:spacing w:after="0" w:line="360" w:lineRule="auto"/>
              <w:jc w:val="center"/>
              <w:rPr>
                <w:szCs w:val="25"/>
              </w:rPr>
            </w:pPr>
            <w:r w:rsidRPr="002F4E94">
              <w:rPr>
                <w:szCs w:val="25"/>
              </w:rPr>
              <w:t>6</w:t>
            </w:r>
            <w:r w:rsidR="000656E7" w:rsidRPr="002F4E94">
              <w:rPr>
                <w:szCs w:val="25"/>
              </w:rPr>
              <w:t>0%</w:t>
            </w:r>
          </w:p>
        </w:tc>
      </w:tr>
    </w:tbl>
    <w:p w:rsidR="000656E7" w:rsidRPr="002F4E94" w:rsidRDefault="000656E7" w:rsidP="00F73BFB">
      <w:pPr>
        <w:spacing w:after="0" w:line="360" w:lineRule="auto"/>
        <w:jc w:val="both"/>
        <w:rPr>
          <w:rFonts w:eastAsia="Times New Roman"/>
          <w:szCs w:val="25"/>
          <w:lang w:val="en-GB"/>
        </w:rPr>
      </w:pPr>
    </w:p>
    <w:p w:rsidR="00586A5E" w:rsidRPr="002F4E94" w:rsidRDefault="002E7F96" w:rsidP="00F73BFB">
      <w:pPr>
        <w:pStyle w:val="BodyTextIndent"/>
        <w:widowControl w:val="0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5"/>
          <w:szCs w:val="25"/>
        </w:rPr>
      </w:pPr>
      <w:r w:rsidRPr="002F4E94">
        <w:rPr>
          <w:rFonts w:ascii="Times New Roman" w:hAnsi="Times New Roman"/>
          <w:b/>
          <w:sz w:val="25"/>
          <w:szCs w:val="25"/>
        </w:rPr>
        <w:t>STUDY</w:t>
      </w:r>
      <w:r w:rsidR="0042088F" w:rsidRPr="002F4E94">
        <w:rPr>
          <w:rFonts w:ascii="Times New Roman" w:hAnsi="Times New Roman"/>
          <w:b/>
          <w:sz w:val="25"/>
          <w:szCs w:val="25"/>
        </w:rPr>
        <w:t xml:space="preserve"> MATERIALS</w:t>
      </w:r>
    </w:p>
    <w:p w:rsidR="00B95655" w:rsidRPr="002F4E94" w:rsidRDefault="00B95655" w:rsidP="00F73BFB">
      <w:pPr>
        <w:pStyle w:val="BodyTextIndent"/>
        <w:widowControl w:val="0"/>
        <w:spacing w:line="360" w:lineRule="auto"/>
        <w:ind w:left="792"/>
        <w:rPr>
          <w:rFonts w:ascii="Times New Roman" w:hAnsi="Times New Roman"/>
          <w:sz w:val="25"/>
          <w:szCs w:val="25"/>
        </w:rPr>
      </w:pPr>
      <w:r w:rsidRPr="002F4E94">
        <w:rPr>
          <w:rFonts w:ascii="Times New Roman" w:hAnsi="Times New Roman"/>
          <w:sz w:val="25"/>
          <w:szCs w:val="25"/>
        </w:rPr>
        <w:t xml:space="preserve">- Ministry of Finance, The Vietnam accounting standards and Enterprise Accounting </w:t>
      </w:r>
      <w:r w:rsidR="002F4E94">
        <w:rPr>
          <w:rFonts w:ascii="Times New Roman" w:hAnsi="Times New Roman"/>
          <w:sz w:val="25"/>
          <w:szCs w:val="25"/>
        </w:rPr>
        <w:t>Regimes</w:t>
      </w:r>
      <w:r w:rsidRPr="002F4E94">
        <w:rPr>
          <w:rFonts w:ascii="Times New Roman" w:hAnsi="Times New Roman"/>
          <w:sz w:val="25"/>
          <w:szCs w:val="25"/>
        </w:rPr>
        <w:t>.</w:t>
      </w:r>
    </w:p>
    <w:p w:rsidR="00A55B66" w:rsidRPr="002F4E94" w:rsidRDefault="00B95655" w:rsidP="0021253E">
      <w:pPr>
        <w:pStyle w:val="BodyTextIndent"/>
        <w:widowControl w:val="0"/>
        <w:spacing w:line="360" w:lineRule="auto"/>
        <w:ind w:left="792" w:firstLine="0"/>
        <w:rPr>
          <w:sz w:val="25"/>
          <w:szCs w:val="25"/>
          <w:lang w:val="en-GB"/>
        </w:rPr>
      </w:pPr>
      <w:r w:rsidRPr="002F4E94">
        <w:rPr>
          <w:rFonts w:ascii="Times New Roman" w:hAnsi="Times New Roman"/>
          <w:sz w:val="25"/>
          <w:szCs w:val="25"/>
        </w:rPr>
        <w:t>- The relevant legislation</w:t>
      </w:r>
    </w:p>
    <w:sectPr w:rsidR="00A55B66" w:rsidRPr="002F4E94" w:rsidSect="00CD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FA8"/>
    <w:multiLevelType w:val="multilevel"/>
    <w:tmpl w:val="64348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83763B"/>
    <w:multiLevelType w:val="hybridMultilevel"/>
    <w:tmpl w:val="24620BF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9406EB"/>
    <w:multiLevelType w:val="multilevel"/>
    <w:tmpl w:val="93744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321064E"/>
    <w:multiLevelType w:val="hybridMultilevel"/>
    <w:tmpl w:val="111E15DE"/>
    <w:lvl w:ilvl="0" w:tplc="49EE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446"/>
    <w:multiLevelType w:val="multilevel"/>
    <w:tmpl w:val="E61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F01F4"/>
    <w:multiLevelType w:val="multilevel"/>
    <w:tmpl w:val="89F28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A1A2E0B"/>
    <w:multiLevelType w:val="multilevel"/>
    <w:tmpl w:val="034CE4B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 w15:restartNumberingAfterBreak="0">
    <w:nsid w:val="3E377FE0"/>
    <w:multiLevelType w:val="hybridMultilevel"/>
    <w:tmpl w:val="9EC8F4B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FCB145E"/>
    <w:multiLevelType w:val="multilevel"/>
    <w:tmpl w:val="C0867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1FC1A97"/>
    <w:multiLevelType w:val="multilevel"/>
    <w:tmpl w:val="B7A4B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2AA2C3D"/>
    <w:multiLevelType w:val="hybridMultilevel"/>
    <w:tmpl w:val="A3BA81FC"/>
    <w:lvl w:ilvl="0" w:tplc="E35AB0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F2F67"/>
    <w:multiLevelType w:val="multilevel"/>
    <w:tmpl w:val="67E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BBF2ED9"/>
    <w:multiLevelType w:val="multilevel"/>
    <w:tmpl w:val="96DE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6374E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6733781"/>
    <w:multiLevelType w:val="hybridMultilevel"/>
    <w:tmpl w:val="26062F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8F1026"/>
    <w:multiLevelType w:val="multilevel"/>
    <w:tmpl w:val="A43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458423C"/>
    <w:multiLevelType w:val="multilevel"/>
    <w:tmpl w:val="079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B350BC0"/>
    <w:multiLevelType w:val="multilevel"/>
    <w:tmpl w:val="072C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73F2A"/>
    <w:multiLevelType w:val="hybridMultilevel"/>
    <w:tmpl w:val="E474B138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 w15:restartNumberingAfterBreak="0">
    <w:nsid w:val="7BA24D77"/>
    <w:multiLevelType w:val="hybridMultilevel"/>
    <w:tmpl w:val="5B10DBA4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7EEF5A86"/>
    <w:multiLevelType w:val="hybridMultilevel"/>
    <w:tmpl w:val="390C0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20"/>
  </w:num>
  <w:num w:numId="7">
    <w:abstractNumId w:val="14"/>
  </w:num>
  <w:num w:numId="8">
    <w:abstractNumId w:val="19"/>
  </w:num>
  <w:num w:numId="9">
    <w:abstractNumId w:val="18"/>
  </w:num>
  <w:num w:numId="10">
    <w:abstractNumId w:val="7"/>
  </w:num>
  <w:num w:numId="11">
    <w:abstractNumId w:val="1"/>
  </w:num>
  <w:num w:numId="12">
    <w:abstractNumId w:val="17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5B66"/>
    <w:rsid w:val="00017DDA"/>
    <w:rsid w:val="00063A10"/>
    <w:rsid w:val="000656E7"/>
    <w:rsid w:val="00076A6E"/>
    <w:rsid w:val="00097624"/>
    <w:rsid w:val="000C1CFD"/>
    <w:rsid w:val="000C3BDF"/>
    <w:rsid w:val="000E7449"/>
    <w:rsid w:val="0012579E"/>
    <w:rsid w:val="001570D5"/>
    <w:rsid w:val="001942A1"/>
    <w:rsid w:val="0019621C"/>
    <w:rsid w:val="0021253E"/>
    <w:rsid w:val="002160C5"/>
    <w:rsid w:val="002352A4"/>
    <w:rsid w:val="002477EE"/>
    <w:rsid w:val="0028246C"/>
    <w:rsid w:val="00294006"/>
    <w:rsid w:val="002B182A"/>
    <w:rsid w:val="002D6BD1"/>
    <w:rsid w:val="002E7F96"/>
    <w:rsid w:val="002F4E94"/>
    <w:rsid w:val="0030676E"/>
    <w:rsid w:val="00313D51"/>
    <w:rsid w:val="00320C49"/>
    <w:rsid w:val="0034592D"/>
    <w:rsid w:val="00360BA5"/>
    <w:rsid w:val="003C5074"/>
    <w:rsid w:val="003E6CB2"/>
    <w:rsid w:val="0042088F"/>
    <w:rsid w:val="00437F06"/>
    <w:rsid w:val="00443C54"/>
    <w:rsid w:val="004D5CF3"/>
    <w:rsid w:val="0050094D"/>
    <w:rsid w:val="00510D8E"/>
    <w:rsid w:val="00517BDA"/>
    <w:rsid w:val="00522847"/>
    <w:rsid w:val="00554E6B"/>
    <w:rsid w:val="005732C5"/>
    <w:rsid w:val="00586A5E"/>
    <w:rsid w:val="00592BD9"/>
    <w:rsid w:val="005B38FC"/>
    <w:rsid w:val="005C40C6"/>
    <w:rsid w:val="00681BD9"/>
    <w:rsid w:val="006957F0"/>
    <w:rsid w:val="006A4510"/>
    <w:rsid w:val="006B00C1"/>
    <w:rsid w:val="006B7BF6"/>
    <w:rsid w:val="006C2AFB"/>
    <w:rsid w:val="006C36FA"/>
    <w:rsid w:val="006C60AC"/>
    <w:rsid w:val="006C6E5A"/>
    <w:rsid w:val="006D5023"/>
    <w:rsid w:val="006E531B"/>
    <w:rsid w:val="00736841"/>
    <w:rsid w:val="0074572C"/>
    <w:rsid w:val="00781D68"/>
    <w:rsid w:val="00782C33"/>
    <w:rsid w:val="007D13EC"/>
    <w:rsid w:val="007E44A5"/>
    <w:rsid w:val="00806287"/>
    <w:rsid w:val="0081172A"/>
    <w:rsid w:val="00833177"/>
    <w:rsid w:val="00833241"/>
    <w:rsid w:val="00843246"/>
    <w:rsid w:val="008B18AB"/>
    <w:rsid w:val="008C2643"/>
    <w:rsid w:val="008E594A"/>
    <w:rsid w:val="008F1A36"/>
    <w:rsid w:val="00911827"/>
    <w:rsid w:val="009217FA"/>
    <w:rsid w:val="00932FB0"/>
    <w:rsid w:val="00951396"/>
    <w:rsid w:val="00954EE8"/>
    <w:rsid w:val="009E39A8"/>
    <w:rsid w:val="009F1CAD"/>
    <w:rsid w:val="00A54C46"/>
    <w:rsid w:val="00A55B66"/>
    <w:rsid w:val="00A8771F"/>
    <w:rsid w:val="00AB6D55"/>
    <w:rsid w:val="00AC07E9"/>
    <w:rsid w:val="00AC74FF"/>
    <w:rsid w:val="00B00361"/>
    <w:rsid w:val="00B00DBF"/>
    <w:rsid w:val="00B05904"/>
    <w:rsid w:val="00B2221C"/>
    <w:rsid w:val="00B27E51"/>
    <w:rsid w:val="00B368B4"/>
    <w:rsid w:val="00B83879"/>
    <w:rsid w:val="00B93F14"/>
    <w:rsid w:val="00B95655"/>
    <w:rsid w:val="00BB2DC6"/>
    <w:rsid w:val="00BB4340"/>
    <w:rsid w:val="00BC3A7C"/>
    <w:rsid w:val="00C4698F"/>
    <w:rsid w:val="00C708A2"/>
    <w:rsid w:val="00CA0895"/>
    <w:rsid w:val="00CC68FF"/>
    <w:rsid w:val="00CD09C3"/>
    <w:rsid w:val="00CE12A0"/>
    <w:rsid w:val="00CE2F6A"/>
    <w:rsid w:val="00CF73FF"/>
    <w:rsid w:val="00D07D2F"/>
    <w:rsid w:val="00D134BA"/>
    <w:rsid w:val="00D32389"/>
    <w:rsid w:val="00D54AB8"/>
    <w:rsid w:val="00D62602"/>
    <w:rsid w:val="00DD49B4"/>
    <w:rsid w:val="00E145BA"/>
    <w:rsid w:val="00E30927"/>
    <w:rsid w:val="00E31FBF"/>
    <w:rsid w:val="00E75703"/>
    <w:rsid w:val="00EE22BC"/>
    <w:rsid w:val="00EE27E6"/>
    <w:rsid w:val="00EF5CF7"/>
    <w:rsid w:val="00F36D3A"/>
    <w:rsid w:val="00F5292C"/>
    <w:rsid w:val="00F71876"/>
    <w:rsid w:val="00F73BFB"/>
    <w:rsid w:val="00F8278B"/>
    <w:rsid w:val="00F832B5"/>
    <w:rsid w:val="00F94818"/>
    <w:rsid w:val="00FC5B21"/>
    <w:rsid w:val="00FD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DC215A"/>
  <w15:docId w15:val="{C0A286AC-C04D-4C9F-8718-2C6C89A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5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73FF"/>
    <w:pPr>
      <w:spacing w:after="0" w:line="240" w:lineRule="auto"/>
      <w:ind w:left="1440" w:firstLine="60"/>
      <w:jc w:val="both"/>
    </w:pPr>
    <w:rPr>
      <w:rFonts w:ascii="VNI Times" w:eastAsia="Calibri" w:hAnsi="VNI Times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F73FF"/>
    <w:rPr>
      <w:rFonts w:ascii="VNI Times" w:eastAsia="Calibri" w:hAnsi="VNI Times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Huu Thuy</dc:creator>
  <cp:lastModifiedBy>Ho Huu Thuy</cp:lastModifiedBy>
  <cp:revision>10</cp:revision>
  <dcterms:created xsi:type="dcterms:W3CDTF">2017-01-15T14:24:00Z</dcterms:created>
  <dcterms:modified xsi:type="dcterms:W3CDTF">2017-01-17T08:15:00Z</dcterms:modified>
</cp:coreProperties>
</file>